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9EBC" w14:textId="77777777" w:rsidR="007475C7" w:rsidRDefault="00A770A9" w:rsidP="00E36CF1">
      <w:pPr>
        <w:pStyle w:val="DocumentTitle"/>
      </w:pPr>
      <w:r>
        <w:rPr>
          <w:noProof/>
        </w:rPr>
        <mc:AlternateContent>
          <mc:Choice Requires="wps">
            <w:drawing>
              <wp:anchor distT="0" distB="0" distL="114300" distR="114300" simplePos="0" relativeHeight="251656704" behindDoc="1" locked="0" layoutInCell="1" allowOverlap="1" wp14:anchorId="094ECD4B" wp14:editId="2F266B39">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FA49" id="Rectangle 11" o:spid="_x0000_s1026" style="position:absolute;margin-left:-90pt;margin-top:-63pt;width:603pt;height:1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5680" behindDoc="0" locked="0" layoutInCell="1" allowOverlap="1" wp14:anchorId="6FEC2D4A" wp14:editId="529269F1">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2D4A" id="_x0000_t202" coordsize="21600,21600" o:spt="202" path="m,l,21600r21600,l21600,xe">
                <v:stroke joinstyle="miter"/>
                <v:path gradientshapeok="t" o:connecttype="rect"/>
              </v:shapetype>
              <v:shape id="Text Box 10" o:spid="_x0000_s1026" type="#_x0000_t202" style="position:absolute;margin-left:-7.5pt;margin-top:-9pt;width:338.5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5F71858" wp14:editId="036DC0FD">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71858" id="Text Box 9" o:spid="_x0000_s1027" type="#_x0000_t202" style="position:absolute;margin-left:369.75pt;margin-top:-58.5pt;width:125.25pt;height:10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DaWM8ujAIAABgFAAAOAAAAAAAAAAAAAAAAAC4CAABkcnMvZTJvRG9jLnhtbFBLAQIt&#10;ABQABgAIAAAAIQDyzeUV4AAAAAsBAAAPAAAAAAAAAAAAAAAAAOYEAABkcnMvZG93bnJldi54bWxQ&#10;SwUGAAAAAAQABADzAAAA8wUAAAAA&#10;" fillcolor="#036" stroked="f">
                <v:textbox style="mso-fit-shape-to-text:t" inset="6.5mm,9.3mm,12.5mm">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6599883B" w14:textId="77777777" w:rsidR="00AB7707" w:rsidRDefault="00AB7707" w:rsidP="00E36CF1">
      <w:pPr>
        <w:pStyle w:val="DocumentTitle"/>
      </w:pPr>
    </w:p>
    <w:p w14:paraId="4E0C3C0A" w14:textId="77777777" w:rsidR="00686C96" w:rsidRPr="00500C71" w:rsidRDefault="00572A9C" w:rsidP="00A3421F">
      <w:pPr>
        <w:pStyle w:val="OrgUnit"/>
      </w:pPr>
      <w:r>
        <w:t>Centre for Cancer Research</w:t>
      </w:r>
      <w:bookmarkStart w:id="0" w:name="_GoBack"/>
      <w:bookmarkEnd w:id="0"/>
    </w:p>
    <w:p w14:paraId="46682818" w14:textId="77777777" w:rsidR="005C2A25" w:rsidRDefault="00304C12" w:rsidP="00A3421F">
      <w:pPr>
        <w:pStyle w:val="BudgetDivision"/>
      </w:pPr>
      <w:r>
        <w:t>Faculty of Medicine, Dentistry and Health Sciences</w:t>
      </w:r>
    </w:p>
    <w:p w14:paraId="24D7001B" w14:textId="3E09AF3D" w:rsidR="00601B18" w:rsidRPr="005C2A25" w:rsidRDefault="00B45D6A" w:rsidP="00601B18">
      <w:pPr>
        <w:pStyle w:val="PositionTitle"/>
      </w:pPr>
      <w:r>
        <w:t>Teaching</w:t>
      </w:r>
      <w:r w:rsidR="006B375A">
        <w:t xml:space="preserve"> </w:t>
      </w:r>
      <w:r w:rsidR="00011619">
        <w:t>Assistant</w:t>
      </w:r>
      <w:r w:rsidR="003F685E">
        <w:t xml:space="preserve"> in </w:t>
      </w:r>
      <w:r w:rsidR="009565B3">
        <w:t xml:space="preserve">Cancer </w:t>
      </w:r>
      <w:r w:rsidR="00826A5D">
        <w:t>Research</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2E0C0766" w14:textId="77777777" w:rsidTr="00B25A95">
        <w:tc>
          <w:tcPr>
            <w:tcW w:w="2268" w:type="dxa"/>
          </w:tcPr>
          <w:p w14:paraId="672BC80D" w14:textId="77777777" w:rsidR="005806D9" w:rsidRPr="00743F3C" w:rsidRDefault="005806D9" w:rsidP="00A3421F">
            <w:pPr>
              <w:pStyle w:val="Positionmetadata"/>
            </w:pPr>
            <w:r w:rsidRPr="00743F3C">
              <w:t>Position No</w:t>
            </w:r>
          </w:p>
        </w:tc>
        <w:tc>
          <w:tcPr>
            <w:tcW w:w="6345" w:type="dxa"/>
          </w:tcPr>
          <w:p w14:paraId="15A67610" w14:textId="77777777" w:rsidR="005806D9" w:rsidRPr="005B6661" w:rsidRDefault="00E148EF" w:rsidP="00A3421F">
            <w:pPr>
              <w:pStyle w:val="BodyText"/>
            </w:pPr>
            <w:r w:rsidRPr="005B6661">
              <w:fldChar w:fldCharType="begin"/>
            </w:r>
            <w:r w:rsidR="005E00A6" w:rsidRPr="005B6661">
              <w:instrText xml:space="preserve"> MACROBUTTON  NoMacro </w:instrText>
            </w:r>
            <w:r w:rsidR="00D44835" w:rsidRPr="005B6661">
              <w:instrText>xxxxxxx</w:instrText>
            </w:r>
            <w:r w:rsidR="005E00A6" w:rsidRPr="005B6661">
              <w:instrText xml:space="preserve"> </w:instrText>
            </w:r>
            <w:r w:rsidRPr="005B6661">
              <w:fldChar w:fldCharType="end"/>
            </w:r>
          </w:p>
        </w:tc>
      </w:tr>
      <w:tr w:rsidR="005806D9" w:rsidRPr="00B25A95" w14:paraId="24B03BA4" w14:textId="77777777" w:rsidTr="00B25A95">
        <w:tc>
          <w:tcPr>
            <w:tcW w:w="2268" w:type="dxa"/>
          </w:tcPr>
          <w:p w14:paraId="1E84A7C1" w14:textId="77777777" w:rsidR="00304C12" w:rsidRPr="00743F3C" w:rsidRDefault="005806D9" w:rsidP="00A3421F">
            <w:pPr>
              <w:pStyle w:val="Positionmetadata"/>
            </w:pPr>
            <w:r w:rsidRPr="00743F3C">
              <w:t>Classification</w:t>
            </w:r>
          </w:p>
        </w:tc>
        <w:tc>
          <w:tcPr>
            <w:tcW w:w="6345" w:type="dxa"/>
          </w:tcPr>
          <w:p w14:paraId="62244677" w14:textId="77777777" w:rsidR="00304C12" w:rsidRPr="005B6661" w:rsidRDefault="00B45D6A" w:rsidP="00A3421F">
            <w:pPr>
              <w:pStyle w:val="BodyText"/>
            </w:pPr>
            <w:r>
              <w:t>Teaching</w:t>
            </w:r>
            <w:r w:rsidR="006B375A">
              <w:t xml:space="preserve"> </w:t>
            </w:r>
            <w:r w:rsidR="00961F4F">
              <w:t>Assistant</w:t>
            </w:r>
            <w:r w:rsidR="00304C12">
              <w:t xml:space="preserve">, Level </w:t>
            </w:r>
            <w:r w:rsidR="00A770A9">
              <w:t>A</w:t>
            </w:r>
            <w:r w:rsidR="00304C12">
              <w:t xml:space="preserve">  </w:t>
            </w:r>
          </w:p>
        </w:tc>
      </w:tr>
      <w:tr w:rsidR="00A5388F" w:rsidRPr="00B25A95" w14:paraId="33C9AFAE" w14:textId="77777777" w:rsidTr="00B25A95">
        <w:tc>
          <w:tcPr>
            <w:tcW w:w="2268" w:type="dxa"/>
          </w:tcPr>
          <w:p w14:paraId="17ECD873" w14:textId="77777777" w:rsidR="00A5388F" w:rsidRPr="00743F3C" w:rsidRDefault="00A5388F" w:rsidP="00A3421F">
            <w:pPr>
              <w:pStyle w:val="Positionmetadata"/>
            </w:pPr>
            <w:r>
              <w:t>work focus category</w:t>
            </w:r>
          </w:p>
        </w:tc>
        <w:tc>
          <w:tcPr>
            <w:tcW w:w="6345" w:type="dxa"/>
          </w:tcPr>
          <w:p w14:paraId="74386D65" w14:textId="77777777" w:rsidR="00A5388F" w:rsidRPr="00A5388F" w:rsidRDefault="00572A9C" w:rsidP="00A3421F">
            <w:pPr>
              <w:pStyle w:val="BodyText"/>
            </w:pPr>
            <w:r>
              <w:t>Teaching</w:t>
            </w:r>
            <w:r w:rsidR="00A5388F" w:rsidRPr="00A5388F">
              <w:t xml:space="preserve"> </w:t>
            </w:r>
            <w:r>
              <w:t>Specialist</w:t>
            </w:r>
          </w:p>
        </w:tc>
      </w:tr>
      <w:tr w:rsidR="00A5388F" w:rsidRPr="00B25A95" w14:paraId="7410BE05" w14:textId="77777777" w:rsidTr="00B25A95">
        <w:tc>
          <w:tcPr>
            <w:tcW w:w="2268" w:type="dxa"/>
          </w:tcPr>
          <w:p w14:paraId="5B6586F1" w14:textId="77777777" w:rsidR="00A5388F" w:rsidRPr="00743F3C" w:rsidRDefault="00A5388F" w:rsidP="00A3421F">
            <w:pPr>
              <w:pStyle w:val="Positionmetadata"/>
            </w:pPr>
            <w:r w:rsidRPr="00743F3C">
              <w:t>Salary</w:t>
            </w:r>
          </w:p>
        </w:tc>
        <w:tc>
          <w:tcPr>
            <w:tcW w:w="6345" w:type="dxa"/>
          </w:tcPr>
          <w:p w14:paraId="60F6B87F" w14:textId="77777777" w:rsidR="00A5388F" w:rsidRPr="005B6661" w:rsidRDefault="00572A9C" w:rsidP="0084418E">
            <w:pPr>
              <w:pStyle w:val="BodyText"/>
            </w:pPr>
            <w:r>
              <w:t>Hourly rate of $56.59 or $65.08 with on costs</w:t>
            </w:r>
          </w:p>
        </w:tc>
      </w:tr>
      <w:tr w:rsidR="00A5388F" w:rsidRPr="00B25A95" w14:paraId="5EF3186E" w14:textId="77777777" w:rsidTr="00B25A95">
        <w:tc>
          <w:tcPr>
            <w:tcW w:w="2268" w:type="dxa"/>
          </w:tcPr>
          <w:p w14:paraId="4156B682" w14:textId="77777777" w:rsidR="00A5388F" w:rsidRPr="00743F3C" w:rsidRDefault="00A5388F" w:rsidP="00A3421F">
            <w:pPr>
              <w:pStyle w:val="Positionmetadata"/>
            </w:pPr>
            <w:r w:rsidRPr="00743F3C">
              <w:t>Superannuation</w:t>
            </w:r>
          </w:p>
        </w:tc>
        <w:tc>
          <w:tcPr>
            <w:tcW w:w="6345" w:type="dxa"/>
          </w:tcPr>
          <w:p w14:paraId="36A47A42" w14:textId="77777777" w:rsidR="00A5388F" w:rsidRPr="005B6661" w:rsidRDefault="00A5388F" w:rsidP="00A3421F">
            <w:pPr>
              <w:pStyle w:val="BodyText"/>
            </w:pPr>
            <w:r w:rsidRPr="005B6661">
              <w:t xml:space="preserve">Employer contribution of </w:t>
            </w:r>
            <w:r>
              <w:t xml:space="preserve">9.5% </w:t>
            </w:r>
          </w:p>
        </w:tc>
      </w:tr>
      <w:tr w:rsidR="00A5388F" w:rsidRPr="00B25A95" w14:paraId="65D2DA00" w14:textId="77777777" w:rsidTr="00B25A95">
        <w:tc>
          <w:tcPr>
            <w:tcW w:w="2268" w:type="dxa"/>
          </w:tcPr>
          <w:p w14:paraId="2EFD27BA" w14:textId="77777777" w:rsidR="00A5388F" w:rsidRDefault="00A5388F" w:rsidP="00A3421F">
            <w:pPr>
              <w:pStyle w:val="Positionmetadata"/>
            </w:pPr>
            <w:r>
              <w:t>working hours</w:t>
            </w:r>
          </w:p>
        </w:tc>
        <w:tc>
          <w:tcPr>
            <w:tcW w:w="6345" w:type="dxa"/>
          </w:tcPr>
          <w:p w14:paraId="40E9D666" w14:textId="77777777" w:rsidR="00A5388F" w:rsidRPr="005B6661" w:rsidRDefault="0071492E" w:rsidP="00A3421F">
            <w:pPr>
              <w:pStyle w:val="BodyText"/>
            </w:pPr>
            <w:r>
              <w:t>Casual</w:t>
            </w:r>
          </w:p>
        </w:tc>
      </w:tr>
      <w:tr w:rsidR="00A5388F" w:rsidRPr="00B25A95" w14:paraId="7C50B56A" w14:textId="77777777" w:rsidTr="00B25A95">
        <w:tc>
          <w:tcPr>
            <w:tcW w:w="2268" w:type="dxa"/>
          </w:tcPr>
          <w:p w14:paraId="65020EC2" w14:textId="77777777" w:rsidR="00A5388F" w:rsidRPr="00743F3C" w:rsidRDefault="00A5388F" w:rsidP="00A3421F">
            <w:pPr>
              <w:pStyle w:val="Positionmetadata"/>
            </w:pPr>
            <w:r>
              <w:t xml:space="preserve">basis of </w:t>
            </w:r>
            <w:r w:rsidRPr="00743F3C">
              <w:t xml:space="preserve">Employment </w:t>
            </w:r>
          </w:p>
        </w:tc>
        <w:tc>
          <w:tcPr>
            <w:tcW w:w="6345" w:type="dxa"/>
          </w:tcPr>
          <w:p w14:paraId="1AFD23BC" w14:textId="105EF33F" w:rsidR="00A5388F" w:rsidRPr="005B6661" w:rsidRDefault="0071492E" w:rsidP="00A3421F">
            <w:pPr>
              <w:pStyle w:val="BodyText"/>
            </w:pPr>
            <w:r>
              <w:t>Fixed term</w:t>
            </w:r>
            <w:r w:rsidR="00A5388F" w:rsidRPr="005B6661">
              <w:t xml:space="preserve"> position available </w:t>
            </w:r>
            <w:r>
              <w:t xml:space="preserve">for the Cancer </w:t>
            </w:r>
            <w:r w:rsidR="00826A5D">
              <w:t xml:space="preserve">Research </w:t>
            </w:r>
            <w:r>
              <w:t xml:space="preserve">teaching period, Term </w:t>
            </w:r>
            <w:r w:rsidR="00826A5D">
              <w:t>2</w:t>
            </w:r>
            <w:r>
              <w:t xml:space="preserve"> 2019</w:t>
            </w:r>
          </w:p>
        </w:tc>
      </w:tr>
      <w:tr w:rsidR="00A5388F" w:rsidRPr="00B25A95" w14:paraId="0BABE046" w14:textId="77777777" w:rsidTr="00B25A95">
        <w:tc>
          <w:tcPr>
            <w:tcW w:w="2268" w:type="dxa"/>
          </w:tcPr>
          <w:p w14:paraId="3F4CA6B5" w14:textId="77777777" w:rsidR="00A5388F" w:rsidRPr="00743F3C" w:rsidRDefault="00A5388F" w:rsidP="00A3421F">
            <w:pPr>
              <w:pStyle w:val="Positionmetadata"/>
            </w:pPr>
            <w:r w:rsidRPr="00743F3C">
              <w:t>Other Benefits</w:t>
            </w:r>
          </w:p>
        </w:tc>
        <w:tc>
          <w:tcPr>
            <w:tcW w:w="6345" w:type="dxa"/>
          </w:tcPr>
          <w:p w14:paraId="7AA449B0" w14:textId="77777777" w:rsidR="00A5388F" w:rsidRPr="005B6661" w:rsidRDefault="00365719" w:rsidP="00A3421F">
            <w:pPr>
              <w:pStyle w:val="BodyText"/>
            </w:pPr>
            <w:hyperlink r:id="rId9" w:history="1">
              <w:r w:rsidR="00A5388F" w:rsidRPr="00774D1A">
                <w:rPr>
                  <w:rStyle w:val="Hyperlink"/>
                </w:rPr>
                <w:t>http://about.unimelb.edu.au/careers/working/benefits</w:t>
              </w:r>
            </w:hyperlink>
          </w:p>
        </w:tc>
      </w:tr>
      <w:tr w:rsidR="00A5388F" w:rsidRPr="00B25A95" w14:paraId="6E654BE7" w14:textId="77777777" w:rsidTr="00B25A95">
        <w:tc>
          <w:tcPr>
            <w:tcW w:w="2268" w:type="dxa"/>
          </w:tcPr>
          <w:p w14:paraId="5BC7904E" w14:textId="77777777" w:rsidR="00A5388F" w:rsidRPr="00743F3C" w:rsidRDefault="00A5388F" w:rsidP="00A3421F">
            <w:pPr>
              <w:pStyle w:val="Positionmetadata"/>
            </w:pPr>
            <w:r w:rsidRPr="00743F3C">
              <w:t>How to Apply</w:t>
            </w:r>
          </w:p>
        </w:tc>
        <w:tc>
          <w:tcPr>
            <w:tcW w:w="6345" w:type="dxa"/>
          </w:tcPr>
          <w:p w14:paraId="11F7E6FE" w14:textId="22604251" w:rsidR="00A5388F" w:rsidRPr="005B6661" w:rsidRDefault="005B52B3" w:rsidP="00A3421F">
            <w:pPr>
              <w:pStyle w:val="BodyText"/>
            </w:pPr>
            <w:r>
              <w:t xml:space="preserve">Applications to be sent to </w:t>
            </w:r>
            <w:hyperlink r:id="rId10" w:history="1">
              <w:r>
                <w:rPr>
                  <w:rStyle w:val="Hyperlink"/>
                </w:rPr>
                <w:t>sathana.dushyanthen@unimelb.edu.au</w:t>
              </w:r>
            </w:hyperlink>
            <w:r>
              <w:t xml:space="preserve"> by Monday 25 March COB addressing all essential selection criteria</w:t>
            </w:r>
            <w:r w:rsidR="00E45BBB">
              <w:t xml:space="preserve"> and appending your CV</w:t>
            </w:r>
          </w:p>
        </w:tc>
      </w:tr>
      <w:tr w:rsidR="00A5388F" w:rsidRPr="00B25A95" w14:paraId="17EEADD2" w14:textId="77777777" w:rsidTr="00B25A95">
        <w:tc>
          <w:tcPr>
            <w:tcW w:w="2268" w:type="dxa"/>
          </w:tcPr>
          <w:p w14:paraId="3F1DCE82" w14:textId="77777777" w:rsidR="00A5388F" w:rsidRPr="00743F3C" w:rsidRDefault="00A5388F" w:rsidP="00A3421F">
            <w:pPr>
              <w:pStyle w:val="Positionmetadata"/>
            </w:pPr>
            <w:r w:rsidRPr="00743F3C">
              <w:t>contact</w:t>
            </w:r>
            <w:r>
              <w:br/>
            </w:r>
            <w:r w:rsidRPr="00743F3C">
              <w:t>For enquiries only</w:t>
            </w:r>
          </w:p>
        </w:tc>
        <w:tc>
          <w:tcPr>
            <w:tcW w:w="6345" w:type="dxa"/>
          </w:tcPr>
          <w:p w14:paraId="7274D5AA" w14:textId="77777777" w:rsidR="00826A5D" w:rsidRPr="006830DA" w:rsidRDefault="00826A5D" w:rsidP="00826A5D">
            <w:pPr>
              <w:pStyle w:val="Contact"/>
              <w:rPr>
                <w:lang w:val="fr-FR"/>
              </w:rPr>
            </w:pPr>
            <w:r>
              <w:rPr>
                <w:lang w:val="fr-FR"/>
              </w:rPr>
              <w:t>Assoc Prof Andrew Weickhardt</w:t>
            </w:r>
            <w:r w:rsidRPr="006830DA">
              <w:rPr>
                <w:lang w:val="fr-FR"/>
              </w:rPr>
              <w:br/>
              <w:t>Tel +6</w:t>
            </w:r>
            <w:r>
              <w:rPr>
                <w:lang w:val="fr-FR"/>
              </w:rPr>
              <w:t>1 420 381 848</w:t>
            </w:r>
            <w:r w:rsidRPr="006830DA">
              <w:rPr>
                <w:lang w:val="fr-FR"/>
              </w:rPr>
              <w:br/>
              <w:t xml:space="preserve">Email </w:t>
            </w:r>
            <w:r w:rsidRPr="00230315">
              <w:rPr>
                <w:lang w:val="fr-FR"/>
              </w:rPr>
              <w:t>Andrew.Weickhardt@onjcri.org.au</w:t>
            </w:r>
          </w:p>
          <w:p w14:paraId="0605648A" w14:textId="77777777" w:rsidR="00A5388F" w:rsidRPr="005B6661" w:rsidRDefault="00A5388F" w:rsidP="00A3421F">
            <w:pPr>
              <w:pStyle w:val="BodyText"/>
              <w:rPr>
                <w:rStyle w:val="Inlineitalic"/>
              </w:rPr>
            </w:pPr>
            <w:r w:rsidRPr="005B6661">
              <w:rPr>
                <w:rStyle w:val="Inlineitalic"/>
              </w:rPr>
              <w:t>Please do not send your application to this contact</w:t>
            </w:r>
          </w:p>
        </w:tc>
      </w:tr>
    </w:tbl>
    <w:p w14:paraId="3A8F00CB" w14:textId="77777777" w:rsidR="004B00AD" w:rsidRPr="005F4DC3" w:rsidRDefault="00EA4C92" w:rsidP="005F4DC3">
      <w:pPr>
        <w:pStyle w:val="URLboxsmall"/>
        <w:spacing w:line="280" w:lineRule="exact"/>
        <w:rPr>
          <w:color w:val="336699"/>
        </w:rPr>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A5388F">
        <w:rPr>
          <w:color w:val="336699"/>
        </w:rPr>
        <w:t xml:space="preserve">about.unimelb.edu.au/careers </w:t>
      </w:r>
    </w:p>
    <w:p w14:paraId="1B1E4BBB" w14:textId="77777777" w:rsidR="00F072CF" w:rsidRDefault="00EA4C92" w:rsidP="00B36A9E">
      <w:pPr>
        <w:pStyle w:val="PositionSummary"/>
      </w:pPr>
      <w:r>
        <w:rPr>
          <w:rStyle w:val="URLonfrontpageChar"/>
        </w:rPr>
        <w:br w:type="page"/>
      </w:r>
      <w:r w:rsidR="00F072CF">
        <w:lastRenderedPageBreak/>
        <w:t>Position Summary</w:t>
      </w:r>
    </w:p>
    <w:p w14:paraId="744C128E" w14:textId="77777777" w:rsidR="00DB3482" w:rsidRDefault="00DB3482" w:rsidP="00DB3482">
      <w:pPr>
        <w:spacing w:before="120" w:after="60" w:line="260" w:lineRule="exact"/>
        <w:rPr>
          <w:rFonts w:ascii="Arial" w:hAnsi="Arial" w:cs="Arial"/>
          <w:sz w:val="20"/>
          <w:szCs w:val="20"/>
        </w:rPr>
      </w:pPr>
      <w:r w:rsidRPr="00400216">
        <w:rPr>
          <w:rFonts w:ascii="Arial" w:hAnsi="Arial" w:cs="Arial"/>
          <w:sz w:val="20"/>
          <w:szCs w:val="20"/>
        </w:rPr>
        <w:t xml:space="preserve">The </w:t>
      </w:r>
      <w:r>
        <w:rPr>
          <w:rFonts w:ascii="Arial" w:hAnsi="Arial" w:cs="Arial"/>
          <w:sz w:val="20"/>
          <w:szCs w:val="20"/>
        </w:rPr>
        <w:t>Master of Cancer Sciences</w:t>
      </w:r>
      <w:r w:rsidRPr="00400216">
        <w:rPr>
          <w:rFonts w:ascii="Arial" w:hAnsi="Arial" w:cs="Arial"/>
          <w:sz w:val="20"/>
          <w:szCs w:val="20"/>
        </w:rPr>
        <w:t xml:space="preserve"> </w:t>
      </w:r>
      <w:r>
        <w:rPr>
          <w:rFonts w:ascii="Arial" w:hAnsi="Arial" w:cs="Arial"/>
          <w:sz w:val="20"/>
          <w:szCs w:val="20"/>
        </w:rPr>
        <w:t xml:space="preserve">is a fully online two-year part time course offered jointly by the </w:t>
      </w:r>
      <w:r w:rsidRPr="0072385E">
        <w:rPr>
          <w:rFonts w:ascii="Arial" w:hAnsi="Arial" w:cs="Arial"/>
          <w:sz w:val="20"/>
          <w:szCs w:val="20"/>
        </w:rPr>
        <w:t xml:space="preserve">Victorian Comprehensive Cancer Centre </w:t>
      </w:r>
      <w:r>
        <w:rPr>
          <w:rFonts w:ascii="Arial" w:hAnsi="Arial" w:cs="Arial"/>
          <w:sz w:val="20"/>
          <w:szCs w:val="20"/>
        </w:rPr>
        <w:t xml:space="preserve">(VCCC) and </w:t>
      </w:r>
      <w:r w:rsidRPr="00885014">
        <w:rPr>
          <w:rFonts w:ascii="Arial" w:hAnsi="Arial" w:cs="Arial"/>
          <w:sz w:val="20"/>
          <w:szCs w:val="20"/>
        </w:rPr>
        <w:t>the University of Melbourne</w:t>
      </w:r>
      <w:r>
        <w:rPr>
          <w:rFonts w:ascii="Arial" w:hAnsi="Arial" w:cs="Arial"/>
          <w:sz w:val="20"/>
          <w:szCs w:val="20"/>
        </w:rPr>
        <w:t xml:space="preserve"> (UoM)</w:t>
      </w:r>
      <w:r w:rsidRPr="00885014">
        <w:rPr>
          <w:rFonts w:ascii="Arial" w:hAnsi="Arial" w:cs="Arial"/>
          <w:sz w:val="20"/>
          <w:szCs w:val="20"/>
        </w:rPr>
        <w:t>.</w:t>
      </w:r>
      <w:r>
        <w:rPr>
          <w:rFonts w:ascii="Arial" w:hAnsi="Arial" w:cs="Arial"/>
          <w:sz w:val="20"/>
          <w:szCs w:val="20"/>
        </w:rPr>
        <w:t xml:space="preserve"> </w:t>
      </w:r>
      <w:r w:rsidRPr="0072385E">
        <w:rPr>
          <w:rFonts w:ascii="Arial" w:hAnsi="Arial" w:cs="Arial"/>
          <w:sz w:val="20"/>
          <w:szCs w:val="20"/>
        </w:rPr>
        <w:t xml:space="preserve">The philosophy </w:t>
      </w:r>
      <w:r>
        <w:rPr>
          <w:rFonts w:ascii="Arial" w:hAnsi="Arial" w:cs="Arial"/>
          <w:sz w:val="20"/>
          <w:szCs w:val="20"/>
        </w:rPr>
        <w:t>behind</w:t>
      </w:r>
      <w:r w:rsidRPr="0072385E">
        <w:rPr>
          <w:rFonts w:ascii="Arial" w:hAnsi="Arial" w:cs="Arial"/>
          <w:sz w:val="20"/>
          <w:szCs w:val="20"/>
        </w:rPr>
        <w:t xml:space="preserve"> the Master of Cancer Sciences is to provide a contemporary, evidence-based program to health professionals to improve t</w:t>
      </w:r>
      <w:r>
        <w:rPr>
          <w:rFonts w:ascii="Arial" w:hAnsi="Arial" w:cs="Arial"/>
          <w:sz w:val="20"/>
          <w:szCs w:val="20"/>
        </w:rPr>
        <w:t>he outcomes and quality of life for</w:t>
      </w:r>
      <w:r w:rsidRPr="0072385E">
        <w:rPr>
          <w:rFonts w:ascii="Arial" w:hAnsi="Arial" w:cs="Arial"/>
          <w:sz w:val="20"/>
          <w:szCs w:val="20"/>
        </w:rPr>
        <w:t xml:space="preserve"> patients with cancer</w:t>
      </w:r>
      <w:r>
        <w:rPr>
          <w:rFonts w:ascii="Arial" w:hAnsi="Arial" w:cs="Arial"/>
          <w:sz w:val="20"/>
          <w:szCs w:val="20"/>
        </w:rPr>
        <w:t xml:space="preserve"> and ultimately to improve cancer treatment outcomes</w:t>
      </w:r>
      <w:r w:rsidRPr="0072385E">
        <w:rPr>
          <w:rFonts w:ascii="Arial" w:hAnsi="Arial" w:cs="Arial"/>
          <w:sz w:val="20"/>
          <w:szCs w:val="20"/>
        </w:rPr>
        <w:t xml:space="preserve">.  </w:t>
      </w:r>
    </w:p>
    <w:p w14:paraId="2570D8AF" w14:textId="7257C20E" w:rsidR="00F85D64" w:rsidRPr="001073A9" w:rsidRDefault="00DB3482" w:rsidP="00424C2F">
      <w:pPr>
        <w:pStyle w:val="BodyText"/>
        <w:rPr>
          <w:rFonts w:cs="Arial"/>
          <w:szCs w:val="20"/>
        </w:rPr>
      </w:pPr>
      <w:r>
        <w:rPr>
          <w:rStyle w:val="bumpedfont20"/>
        </w:rPr>
        <w:t xml:space="preserve">We require a </w:t>
      </w:r>
      <w:r w:rsidR="006269DF">
        <w:rPr>
          <w:rStyle w:val="bumpedfont20"/>
        </w:rPr>
        <w:t xml:space="preserve">casual </w:t>
      </w:r>
      <w:r w:rsidR="006C3EF4">
        <w:t>Teaching Assistant in Cancer</w:t>
      </w:r>
      <w:r w:rsidR="00B23FA3">
        <w:t xml:space="preserve"> Research</w:t>
      </w:r>
      <w:r w:rsidR="006C3EF4">
        <w:t xml:space="preserve"> subject </w:t>
      </w:r>
      <w:r w:rsidR="006269DF">
        <w:t>to support</w:t>
      </w:r>
      <w:r w:rsidR="006C3EF4">
        <w:t xml:space="preserve"> a tutorial group of up to 25 online graduate students. This will involve </w:t>
      </w:r>
      <w:r w:rsidR="000A2593">
        <w:t xml:space="preserve">familiarisation around content, announcements, </w:t>
      </w:r>
      <w:r w:rsidR="006C3EF4">
        <w:t xml:space="preserve">online invigilation of the student </w:t>
      </w:r>
      <w:r w:rsidR="000A2593">
        <w:t>discussion fora</w:t>
      </w:r>
      <w:r w:rsidR="006C3EF4">
        <w:t xml:space="preserve">, </w:t>
      </w:r>
      <w:r w:rsidR="000A2593">
        <w:t xml:space="preserve">consultation and </w:t>
      </w:r>
      <w:r w:rsidR="000A2593" w:rsidRPr="001073A9">
        <w:rPr>
          <w:rFonts w:cs="Arial"/>
          <w:szCs w:val="20"/>
        </w:rPr>
        <w:t xml:space="preserve">monitoring of student engagement, </w:t>
      </w:r>
      <w:r w:rsidR="00EA1CC2" w:rsidRPr="001073A9">
        <w:rPr>
          <w:rFonts w:cs="Arial"/>
          <w:szCs w:val="20"/>
        </w:rPr>
        <w:t xml:space="preserve">preparation, set up and </w:t>
      </w:r>
      <w:r w:rsidR="000A2593" w:rsidRPr="001073A9">
        <w:rPr>
          <w:rFonts w:cs="Arial"/>
          <w:szCs w:val="20"/>
        </w:rPr>
        <w:t xml:space="preserve">delivery of webinars, </w:t>
      </w:r>
      <w:r w:rsidR="00EA1CC2" w:rsidRPr="001073A9">
        <w:rPr>
          <w:rFonts w:cs="Arial"/>
          <w:szCs w:val="20"/>
        </w:rPr>
        <w:t xml:space="preserve">assessment grading and evaluation and quality improvement activities. </w:t>
      </w:r>
    </w:p>
    <w:p w14:paraId="41DEBFE5" w14:textId="14E35C4B" w:rsidR="00B23FA3" w:rsidRPr="00B23FA3" w:rsidRDefault="00DB3482" w:rsidP="00B23FA3">
      <w:pPr>
        <w:spacing w:before="120" w:after="120" w:line="280" w:lineRule="exact"/>
        <w:rPr>
          <w:rFonts w:ascii="Arial" w:hAnsi="Arial" w:cs="Arial"/>
          <w:sz w:val="20"/>
          <w:szCs w:val="20"/>
        </w:rPr>
      </w:pPr>
      <w:r w:rsidRPr="001073A9">
        <w:rPr>
          <w:rFonts w:ascii="Arial" w:hAnsi="Arial" w:cs="Arial"/>
          <w:sz w:val="20"/>
          <w:szCs w:val="20"/>
        </w:rPr>
        <w:t xml:space="preserve">This will be </w:t>
      </w:r>
      <w:r w:rsidR="00933F6B">
        <w:rPr>
          <w:rFonts w:ascii="Arial" w:hAnsi="Arial" w:cs="Arial"/>
          <w:sz w:val="20"/>
          <w:szCs w:val="20"/>
        </w:rPr>
        <w:t xml:space="preserve">a casual position, </w:t>
      </w:r>
      <w:r w:rsidRPr="001073A9">
        <w:rPr>
          <w:rFonts w:ascii="Arial" w:hAnsi="Arial" w:cs="Arial"/>
          <w:sz w:val="20"/>
          <w:szCs w:val="20"/>
        </w:rPr>
        <w:t>on an as required basis,</w:t>
      </w:r>
      <w:r w:rsidR="002312EB" w:rsidRPr="001073A9">
        <w:rPr>
          <w:rFonts w:ascii="Arial" w:hAnsi="Arial" w:cs="Arial"/>
          <w:sz w:val="20"/>
          <w:szCs w:val="20"/>
        </w:rPr>
        <w:t xml:space="preserve"> w</w:t>
      </w:r>
      <w:r w:rsidR="001073A9" w:rsidRPr="001073A9">
        <w:rPr>
          <w:rFonts w:ascii="Arial" w:hAnsi="Arial" w:cs="Arial"/>
          <w:sz w:val="20"/>
          <w:szCs w:val="20"/>
        </w:rPr>
        <w:t>ith an estimated workload of 5-7</w:t>
      </w:r>
      <w:r w:rsidRPr="001073A9">
        <w:rPr>
          <w:rFonts w:ascii="Arial" w:hAnsi="Arial" w:cs="Arial"/>
          <w:sz w:val="20"/>
          <w:szCs w:val="20"/>
        </w:rPr>
        <w:t xml:space="preserve"> hours per week</w:t>
      </w:r>
      <w:r w:rsidR="00A05936" w:rsidRPr="001073A9">
        <w:rPr>
          <w:rFonts w:ascii="Arial" w:hAnsi="Arial" w:cs="Arial"/>
          <w:sz w:val="20"/>
          <w:szCs w:val="20"/>
        </w:rPr>
        <w:t xml:space="preserve"> for 1</w:t>
      </w:r>
      <w:r w:rsidR="001073A9" w:rsidRPr="001073A9">
        <w:rPr>
          <w:rFonts w:ascii="Arial" w:hAnsi="Arial" w:cs="Arial"/>
          <w:sz w:val="20"/>
          <w:szCs w:val="20"/>
        </w:rPr>
        <w:t>3</w:t>
      </w:r>
      <w:r w:rsidR="00A05936" w:rsidRPr="001073A9">
        <w:rPr>
          <w:rFonts w:ascii="Arial" w:hAnsi="Arial" w:cs="Arial"/>
          <w:sz w:val="20"/>
          <w:szCs w:val="20"/>
        </w:rPr>
        <w:t xml:space="preserve"> weeks during the</w:t>
      </w:r>
      <w:r w:rsidR="001073A9">
        <w:rPr>
          <w:rFonts w:ascii="Arial" w:hAnsi="Arial" w:cs="Arial"/>
          <w:sz w:val="20"/>
          <w:szCs w:val="20"/>
        </w:rPr>
        <w:t xml:space="preserve"> Term 1</w:t>
      </w:r>
      <w:r w:rsidR="00A05936" w:rsidRPr="001073A9">
        <w:rPr>
          <w:rFonts w:ascii="Arial" w:hAnsi="Arial" w:cs="Arial"/>
          <w:sz w:val="20"/>
          <w:szCs w:val="20"/>
        </w:rPr>
        <w:t xml:space="preserve"> teaching period</w:t>
      </w:r>
      <w:r w:rsidR="0085068E">
        <w:rPr>
          <w:rFonts w:ascii="Arial" w:hAnsi="Arial" w:cs="Arial"/>
          <w:sz w:val="20"/>
          <w:szCs w:val="20"/>
        </w:rPr>
        <w:t xml:space="preserve">. The available dates that the tutor is required </w:t>
      </w:r>
      <w:r w:rsidR="00BA4138">
        <w:rPr>
          <w:rFonts w:ascii="Arial" w:hAnsi="Arial" w:cs="Arial"/>
          <w:sz w:val="20"/>
          <w:szCs w:val="20"/>
        </w:rPr>
        <w:t xml:space="preserve">is </w:t>
      </w:r>
      <w:r w:rsidR="00B23FA3">
        <w:rPr>
          <w:rFonts w:ascii="Arial" w:hAnsi="Arial" w:cs="Arial"/>
          <w:sz w:val="20"/>
          <w:szCs w:val="20"/>
        </w:rPr>
        <w:t xml:space="preserve">Monday </w:t>
      </w:r>
      <w:r w:rsidR="00B23FA3" w:rsidRPr="00B42D68">
        <w:rPr>
          <w:rFonts w:asciiTheme="minorHAnsi" w:hAnsiTheme="minorHAnsi" w:cstheme="minorHAnsi"/>
          <w:sz w:val="22"/>
          <w:szCs w:val="22"/>
        </w:rPr>
        <w:t>15 April to Friday 12 July 2019</w:t>
      </w:r>
      <w:r w:rsidR="001073A9" w:rsidRPr="00B42D68">
        <w:rPr>
          <w:rFonts w:asciiTheme="minorHAnsi" w:hAnsiTheme="minorHAnsi" w:cstheme="minorHAnsi"/>
          <w:sz w:val="22"/>
          <w:szCs w:val="22"/>
        </w:rPr>
        <w:t>. The individual will need to be available for all four tutorials scheduled on:</w:t>
      </w:r>
      <w:r w:rsidR="00B42D68" w:rsidRPr="00B42D68">
        <w:rPr>
          <w:rFonts w:asciiTheme="minorHAnsi" w:hAnsiTheme="minorHAnsi" w:cstheme="minorHAnsi"/>
          <w:sz w:val="22"/>
          <w:szCs w:val="22"/>
        </w:rPr>
        <w:t xml:space="preserve"> </w:t>
      </w:r>
      <w:r w:rsidR="00B42D68" w:rsidRPr="00B42D68">
        <w:rPr>
          <w:rFonts w:asciiTheme="minorHAnsi" w:hAnsiTheme="minorHAnsi" w:cstheme="minorHAnsi"/>
          <w:sz w:val="22"/>
          <w:szCs w:val="22"/>
          <w:lang w:val="en-US"/>
        </w:rPr>
        <w:t>Week 1- Thursday 2 May 7.00pm-8.00pm, Week 3- Thursday 16 May 7.00pm-8.00pm, Week 5- Thursday 30 May 7.00pm-8.00pm and Week 7- Thursday 16 June 7.00pm-8.00pm</w:t>
      </w:r>
      <w:r w:rsidR="001073A9" w:rsidRPr="00B42D68">
        <w:rPr>
          <w:rFonts w:asciiTheme="minorHAnsi" w:hAnsiTheme="minorHAnsi" w:cstheme="minorHAnsi"/>
          <w:sz w:val="22"/>
          <w:szCs w:val="22"/>
        </w:rPr>
        <w:t>.</w:t>
      </w:r>
      <w:r w:rsidR="00933F6B" w:rsidRPr="00B42D68">
        <w:rPr>
          <w:rFonts w:asciiTheme="minorHAnsi" w:hAnsiTheme="minorHAnsi" w:cstheme="minorHAnsi"/>
          <w:sz w:val="22"/>
          <w:szCs w:val="22"/>
        </w:rPr>
        <w:t xml:space="preserve"> </w:t>
      </w:r>
      <w:r w:rsidR="00B23FA3" w:rsidRPr="00B42D68">
        <w:rPr>
          <w:rFonts w:asciiTheme="minorHAnsi" w:hAnsiTheme="minorHAnsi" w:cstheme="minorHAnsi"/>
          <w:sz w:val="22"/>
          <w:szCs w:val="22"/>
        </w:rPr>
        <w:t>The subject will be delivered annually in Term 2, so there is an opportunity for the individual to</w:t>
      </w:r>
      <w:r w:rsidR="00B23FA3">
        <w:rPr>
          <w:rFonts w:ascii="Arial" w:hAnsi="Arial" w:cs="Arial"/>
          <w:sz w:val="20"/>
          <w:szCs w:val="20"/>
        </w:rPr>
        <w:t xml:space="preserve"> teach </w:t>
      </w:r>
      <w:r w:rsidR="00B23FA3" w:rsidRPr="00B23FA3">
        <w:rPr>
          <w:rFonts w:ascii="Arial" w:hAnsi="Arial" w:cs="Arial"/>
          <w:sz w:val="20"/>
          <w:szCs w:val="20"/>
        </w:rPr>
        <w:t xml:space="preserve">into the forthcoming years. </w:t>
      </w:r>
    </w:p>
    <w:p w14:paraId="1F52544A" w14:textId="3AC77556" w:rsidR="0069165B" w:rsidRPr="00B23FA3" w:rsidRDefault="0069165B" w:rsidP="00B23FA3">
      <w:pPr>
        <w:spacing w:before="120" w:after="120" w:line="280" w:lineRule="exact"/>
        <w:rPr>
          <w:rFonts w:ascii="Arial" w:hAnsi="Arial" w:cs="Arial"/>
          <w:sz w:val="20"/>
          <w:szCs w:val="20"/>
        </w:rPr>
      </w:pPr>
      <w:r w:rsidRPr="00B23FA3">
        <w:rPr>
          <w:rFonts w:ascii="Arial" w:hAnsi="Arial" w:cs="Arial"/>
          <w:sz w:val="20"/>
          <w:szCs w:val="20"/>
        </w:rPr>
        <w:t xml:space="preserve">This position reports to the </w:t>
      </w:r>
      <w:r w:rsidR="00F774FA" w:rsidRPr="00B23FA3">
        <w:rPr>
          <w:rFonts w:ascii="Arial" w:hAnsi="Arial" w:cs="Arial"/>
          <w:sz w:val="20"/>
          <w:szCs w:val="20"/>
        </w:rPr>
        <w:t xml:space="preserve">Cancer </w:t>
      </w:r>
      <w:r w:rsidR="00B23FA3">
        <w:rPr>
          <w:rFonts w:ascii="Arial" w:hAnsi="Arial" w:cs="Arial"/>
          <w:sz w:val="20"/>
          <w:szCs w:val="20"/>
        </w:rPr>
        <w:t xml:space="preserve">Research </w:t>
      </w:r>
      <w:r w:rsidR="000A2593" w:rsidRPr="00B23FA3">
        <w:rPr>
          <w:rFonts w:ascii="Arial" w:hAnsi="Arial" w:cs="Arial"/>
          <w:sz w:val="20"/>
          <w:szCs w:val="20"/>
        </w:rPr>
        <w:t xml:space="preserve">Subject </w:t>
      </w:r>
      <w:r w:rsidR="00B23FA3">
        <w:rPr>
          <w:rFonts w:ascii="Arial" w:hAnsi="Arial" w:cs="Arial"/>
          <w:sz w:val="20"/>
          <w:szCs w:val="20"/>
        </w:rPr>
        <w:t>Co-</w:t>
      </w:r>
      <w:r w:rsidR="000A2593" w:rsidRPr="00B23FA3">
        <w:rPr>
          <w:rFonts w:ascii="Arial" w:hAnsi="Arial" w:cs="Arial"/>
          <w:sz w:val="20"/>
          <w:szCs w:val="20"/>
        </w:rPr>
        <w:t>Coordinator</w:t>
      </w:r>
      <w:r w:rsidR="00B23FA3">
        <w:rPr>
          <w:rFonts w:ascii="Arial" w:hAnsi="Arial" w:cs="Arial"/>
          <w:sz w:val="20"/>
          <w:szCs w:val="20"/>
        </w:rPr>
        <w:t>s</w:t>
      </w:r>
      <w:r w:rsidR="000A2593" w:rsidRPr="00B23FA3">
        <w:rPr>
          <w:rFonts w:ascii="Arial" w:hAnsi="Arial" w:cs="Arial"/>
          <w:sz w:val="20"/>
          <w:szCs w:val="20"/>
        </w:rPr>
        <w:t>.</w:t>
      </w:r>
    </w:p>
    <w:p w14:paraId="3478613E" w14:textId="77777777" w:rsidR="002D6D51" w:rsidRPr="009C300E" w:rsidRDefault="002D6D51" w:rsidP="00A3421F">
      <w:pPr>
        <w:pStyle w:val="Heading1"/>
      </w:pPr>
      <w:r w:rsidRPr="009C300E">
        <w:t>Key Responsibilities</w:t>
      </w:r>
    </w:p>
    <w:p w14:paraId="09375082" w14:textId="77777777" w:rsidR="002D6D51" w:rsidRDefault="00E637AA" w:rsidP="00A3421F">
      <w:pPr>
        <w:pStyle w:val="Heading2"/>
      </w:pPr>
      <w:r>
        <w:t>TEACHING AND LEARNING</w:t>
      </w:r>
    </w:p>
    <w:p w14:paraId="2A183B8F" w14:textId="71B35DF1" w:rsidR="00F95EB1" w:rsidRDefault="00F95EB1" w:rsidP="00F95EB1">
      <w:pPr>
        <w:pStyle w:val="ListBullet"/>
        <w:numPr>
          <w:ilvl w:val="0"/>
          <w:numId w:val="8"/>
        </w:numPr>
        <w:tabs>
          <w:tab w:val="clear" w:pos="720"/>
          <w:tab w:val="num" w:pos="498"/>
        </w:tabs>
        <w:ind w:left="498"/>
        <w:jc w:val="both"/>
      </w:pPr>
      <w:r>
        <w:t xml:space="preserve">Contribute to the delivery of the Cancer </w:t>
      </w:r>
      <w:r w:rsidR="005B07C9">
        <w:t>Research subject</w:t>
      </w:r>
      <w:r>
        <w:t xml:space="preserve"> in the Master of Cancer Sciences</w:t>
      </w:r>
    </w:p>
    <w:p w14:paraId="7EB1967E" w14:textId="5F146E32" w:rsidR="007077BB" w:rsidRDefault="00C05D31" w:rsidP="005D705C">
      <w:pPr>
        <w:pStyle w:val="ListBullet"/>
        <w:numPr>
          <w:ilvl w:val="0"/>
          <w:numId w:val="8"/>
        </w:numPr>
        <w:tabs>
          <w:tab w:val="clear" w:pos="720"/>
          <w:tab w:val="num" w:pos="498"/>
        </w:tabs>
        <w:ind w:left="498"/>
        <w:jc w:val="both"/>
      </w:pPr>
      <w:r>
        <w:t>Create</w:t>
      </w:r>
      <w:r w:rsidR="007077BB">
        <w:t xml:space="preserve"> a positive and inclusive learning environment through engagement activities</w:t>
      </w:r>
      <w:r w:rsidR="0052650B">
        <w:t xml:space="preserve"> such as announcements, online invigilation</w:t>
      </w:r>
      <w:r w:rsidR="007077BB">
        <w:t xml:space="preserve"> and student support</w:t>
      </w:r>
    </w:p>
    <w:p w14:paraId="7DE74CCA" w14:textId="5DFEB873" w:rsidR="00F95EB1" w:rsidRDefault="00F95EB1" w:rsidP="005D705C">
      <w:pPr>
        <w:pStyle w:val="ListBullet"/>
        <w:numPr>
          <w:ilvl w:val="0"/>
          <w:numId w:val="8"/>
        </w:numPr>
        <w:tabs>
          <w:tab w:val="clear" w:pos="720"/>
          <w:tab w:val="num" w:pos="498"/>
        </w:tabs>
        <w:ind w:left="498"/>
        <w:jc w:val="both"/>
      </w:pPr>
      <w:r>
        <w:t>E</w:t>
      </w:r>
      <w:r w:rsidR="00C05D31">
        <w:t>ncourage</w:t>
      </w:r>
      <w:r>
        <w:t xml:space="preserve"> critical thinking and </w:t>
      </w:r>
      <w:r w:rsidR="00C05D31">
        <w:t>ensure</w:t>
      </w:r>
      <w:r>
        <w:t xml:space="preserve"> that the students’ kno</w:t>
      </w:r>
      <w:r w:rsidR="00C05D31">
        <w:t>wledge is challenged and probed</w:t>
      </w:r>
    </w:p>
    <w:p w14:paraId="2D79ECAD" w14:textId="77777777" w:rsidR="004B55B1" w:rsidRDefault="00983595" w:rsidP="005D705C">
      <w:pPr>
        <w:pStyle w:val="ListBullet"/>
        <w:numPr>
          <w:ilvl w:val="0"/>
          <w:numId w:val="8"/>
        </w:numPr>
        <w:tabs>
          <w:tab w:val="clear" w:pos="720"/>
          <w:tab w:val="num" w:pos="498"/>
        </w:tabs>
        <w:ind w:left="498"/>
        <w:jc w:val="both"/>
      </w:pPr>
      <w:r>
        <w:t>Familiarise yourself with the goals, content and assessment requirements of the subject</w:t>
      </w:r>
    </w:p>
    <w:p w14:paraId="7455991C" w14:textId="63F15DC3" w:rsidR="00AF5B86" w:rsidRDefault="00AF5B86" w:rsidP="00A05936">
      <w:pPr>
        <w:pStyle w:val="ListBullet"/>
        <w:numPr>
          <w:ilvl w:val="0"/>
          <w:numId w:val="8"/>
        </w:numPr>
        <w:tabs>
          <w:tab w:val="clear" w:pos="720"/>
          <w:tab w:val="num" w:pos="498"/>
        </w:tabs>
        <w:ind w:left="498"/>
        <w:jc w:val="both"/>
      </w:pPr>
      <w:r>
        <w:t>Assist in the preparation, set up and delivery of webinars delivered as part of the subject</w:t>
      </w:r>
    </w:p>
    <w:p w14:paraId="03B48157" w14:textId="421EA869" w:rsidR="007077BB" w:rsidRDefault="00C05D31" w:rsidP="00A05936">
      <w:pPr>
        <w:pStyle w:val="ListBullet"/>
        <w:numPr>
          <w:ilvl w:val="0"/>
          <w:numId w:val="8"/>
        </w:numPr>
        <w:tabs>
          <w:tab w:val="clear" w:pos="720"/>
          <w:tab w:val="num" w:pos="498"/>
        </w:tabs>
        <w:ind w:left="498"/>
        <w:jc w:val="both"/>
      </w:pPr>
      <w:r>
        <w:t>Assist</w:t>
      </w:r>
      <w:r w:rsidR="007077BB">
        <w:t xml:space="preserve"> students with the development of study skills necessary for academic success</w:t>
      </w:r>
    </w:p>
    <w:p w14:paraId="3ED29B6E" w14:textId="21EC0A9E" w:rsidR="00985F07" w:rsidRDefault="00C05D31" w:rsidP="00A05936">
      <w:pPr>
        <w:pStyle w:val="ListBullet"/>
        <w:numPr>
          <w:ilvl w:val="0"/>
          <w:numId w:val="8"/>
        </w:numPr>
        <w:tabs>
          <w:tab w:val="clear" w:pos="720"/>
          <w:tab w:val="num" w:pos="498"/>
        </w:tabs>
        <w:ind w:left="498"/>
        <w:jc w:val="both"/>
      </w:pPr>
      <w:r>
        <w:t>Refer</w:t>
      </w:r>
      <w:r w:rsidR="00985F07">
        <w:t xml:space="preserve"> students to appropriate sources of support as needed</w:t>
      </w:r>
    </w:p>
    <w:p w14:paraId="77601C6C" w14:textId="0FD297EF" w:rsidR="00D95B0C" w:rsidRDefault="00D95B0C" w:rsidP="00A05936">
      <w:pPr>
        <w:pStyle w:val="ListBullet"/>
        <w:numPr>
          <w:ilvl w:val="0"/>
          <w:numId w:val="8"/>
        </w:numPr>
        <w:tabs>
          <w:tab w:val="clear" w:pos="720"/>
          <w:tab w:val="num" w:pos="498"/>
        </w:tabs>
        <w:ind w:left="498"/>
        <w:jc w:val="both"/>
      </w:pPr>
      <w:r>
        <w:t>Follow appropriate assessment policies such as utilising plagiarism software and rubrics to mark student assessment tasks and log all data into the online platform</w:t>
      </w:r>
    </w:p>
    <w:p w14:paraId="30A1A6F9" w14:textId="77777777" w:rsidR="00A05936" w:rsidRDefault="00A05936" w:rsidP="00A05936">
      <w:pPr>
        <w:pStyle w:val="ListBullet"/>
        <w:numPr>
          <w:ilvl w:val="0"/>
          <w:numId w:val="8"/>
        </w:numPr>
        <w:tabs>
          <w:tab w:val="clear" w:pos="720"/>
          <w:tab w:val="num" w:pos="498"/>
        </w:tabs>
        <w:ind w:left="498"/>
        <w:jc w:val="both"/>
      </w:pPr>
      <w:r>
        <w:t>Demonstrate a proactive reflexive teaching practice through seeking guidance from senior teaching staff and student feedback</w:t>
      </w:r>
    </w:p>
    <w:p w14:paraId="448F7A65" w14:textId="77777777" w:rsidR="00A05936" w:rsidRDefault="00A05936" w:rsidP="00A05936">
      <w:pPr>
        <w:pStyle w:val="ListBullet"/>
        <w:numPr>
          <w:ilvl w:val="0"/>
          <w:numId w:val="8"/>
        </w:numPr>
        <w:tabs>
          <w:tab w:val="clear" w:pos="720"/>
          <w:tab w:val="num" w:pos="498"/>
        </w:tabs>
        <w:ind w:left="498"/>
        <w:jc w:val="both"/>
      </w:pPr>
      <w:r>
        <w:t xml:space="preserve">Apply contemporary pedagogical insights to teaching practice, </w:t>
      </w:r>
      <w:r w:rsidR="005A6F0D">
        <w:t>recognising the evolving process of group development and the different roles that a facilitator plays at different stages</w:t>
      </w:r>
    </w:p>
    <w:p w14:paraId="20741F93" w14:textId="77777777" w:rsidR="00D95B0C" w:rsidRDefault="00D95B0C" w:rsidP="00D95B0C">
      <w:pPr>
        <w:pStyle w:val="ListBullet"/>
        <w:numPr>
          <w:ilvl w:val="0"/>
          <w:numId w:val="8"/>
        </w:numPr>
        <w:tabs>
          <w:tab w:val="clear" w:pos="720"/>
          <w:tab w:val="num" w:pos="498"/>
        </w:tabs>
        <w:ind w:left="498"/>
        <w:jc w:val="both"/>
      </w:pPr>
      <w:r>
        <w:t>Contribute to quality improvement processes based on student feedback and faculty experience surveys</w:t>
      </w:r>
    </w:p>
    <w:p w14:paraId="4F5749A9" w14:textId="6BF12600" w:rsidR="002D6D51" w:rsidRDefault="002D6D51" w:rsidP="005D705C">
      <w:pPr>
        <w:pStyle w:val="ListBullet"/>
        <w:numPr>
          <w:ilvl w:val="0"/>
          <w:numId w:val="8"/>
        </w:numPr>
        <w:tabs>
          <w:tab w:val="clear" w:pos="720"/>
          <w:tab w:val="num" w:pos="498"/>
        </w:tabs>
        <w:ind w:left="498"/>
        <w:jc w:val="both"/>
      </w:pPr>
      <w:r>
        <w:t>O</w:t>
      </w:r>
      <w:r w:rsidR="004B55B1">
        <w:t>ther</w:t>
      </w:r>
      <w:r>
        <w:t xml:space="preserve"> contributions </w:t>
      </w:r>
      <w:r w:rsidR="004B55B1">
        <w:t>as required</w:t>
      </w:r>
    </w:p>
    <w:p w14:paraId="1D4BBBC6" w14:textId="77777777" w:rsidR="00A43DB4" w:rsidRDefault="00A43DB4" w:rsidP="00A43DB4">
      <w:pPr>
        <w:pStyle w:val="ListBullet"/>
        <w:ind w:left="498"/>
        <w:jc w:val="both"/>
      </w:pPr>
    </w:p>
    <w:p w14:paraId="62B1B17C" w14:textId="77777777" w:rsidR="002D6D51" w:rsidRDefault="002D6D51" w:rsidP="00A3421F">
      <w:pPr>
        <w:pStyle w:val="Heading2"/>
      </w:pPr>
      <w:r>
        <w:lastRenderedPageBreak/>
        <w:t>leadership and service</w:t>
      </w:r>
    </w:p>
    <w:p w14:paraId="5BF3A713" w14:textId="77777777" w:rsidR="00CE4015" w:rsidRDefault="00CE4015" w:rsidP="005D705C">
      <w:pPr>
        <w:pStyle w:val="ListBullet"/>
        <w:numPr>
          <w:ilvl w:val="0"/>
          <w:numId w:val="8"/>
        </w:numPr>
        <w:tabs>
          <w:tab w:val="clear" w:pos="720"/>
          <w:tab w:val="num" w:pos="498"/>
        </w:tabs>
        <w:ind w:left="498"/>
        <w:jc w:val="both"/>
      </w:pPr>
      <w:r>
        <w:t>Participate in community and professional activities related to the relevant disciplinary area</w:t>
      </w:r>
      <w:r w:rsidRPr="001F22A5">
        <w:t xml:space="preserve"> </w:t>
      </w:r>
    </w:p>
    <w:p w14:paraId="2D5D74BF" w14:textId="77777777" w:rsidR="00CE4015" w:rsidRDefault="00CE4015" w:rsidP="005D705C">
      <w:pPr>
        <w:pStyle w:val="ListBullet"/>
        <w:numPr>
          <w:ilvl w:val="0"/>
          <w:numId w:val="8"/>
        </w:numPr>
        <w:tabs>
          <w:tab w:val="clear" w:pos="720"/>
          <w:tab w:val="num" w:pos="498"/>
        </w:tabs>
        <w:ind w:left="498"/>
        <w:jc w:val="both"/>
      </w:pPr>
      <w:r>
        <w:t>Effective demonstration and promotion of University values including diversity and inclusion and high standards of ethics and integrity</w:t>
      </w:r>
    </w:p>
    <w:p w14:paraId="75548BFD" w14:textId="77777777" w:rsidR="00564E2E" w:rsidRDefault="002D6D51" w:rsidP="005D705C">
      <w:pPr>
        <w:pStyle w:val="ListBullet"/>
        <w:numPr>
          <w:ilvl w:val="0"/>
          <w:numId w:val="8"/>
        </w:numPr>
        <w:tabs>
          <w:tab w:val="clear" w:pos="720"/>
          <w:tab w:val="num" w:pos="498"/>
        </w:tabs>
        <w:ind w:left="498"/>
        <w:jc w:val="both"/>
      </w:pPr>
      <w:r w:rsidRPr="00E01D36">
        <w:t>Occupational Health and Safety (OH&amp;S) and Environmental Health and Safety (EH&amp;S) responsibilities as outlined in section</w:t>
      </w:r>
      <w:r w:rsidR="00A81D35">
        <w:t xml:space="preserve"> 5</w:t>
      </w:r>
    </w:p>
    <w:p w14:paraId="478B697D" w14:textId="77777777" w:rsidR="00F072CF" w:rsidRDefault="00F072CF" w:rsidP="00A3421F">
      <w:pPr>
        <w:pStyle w:val="Heading1"/>
      </w:pPr>
      <w:r>
        <w:t>Selection Criteria</w:t>
      </w:r>
    </w:p>
    <w:p w14:paraId="4A5AAE8F" w14:textId="77777777" w:rsidR="00F072CF" w:rsidRDefault="00F072CF" w:rsidP="00A3421F">
      <w:pPr>
        <w:pStyle w:val="Heading2"/>
      </w:pPr>
      <w:r>
        <w:t>Essential</w:t>
      </w:r>
    </w:p>
    <w:p w14:paraId="2EED2714" w14:textId="77777777" w:rsidR="009D2465" w:rsidRDefault="001E790F" w:rsidP="009D2465">
      <w:pPr>
        <w:pStyle w:val="ListBullet"/>
        <w:numPr>
          <w:ilvl w:val="0"/>
          <w:numId w:val="8"/>
        </w:numPr>
        <w:tabs>
          <w:tab w:val="clear" w:pos="720"/>
          <w:tab w:val="num" w:pos="498"/>
        </w:tabs>
        <w:ind w:left="498"/>
        <w:jc w:val="both"/>
      </w:pPr>
      <w:r>
        <w:t xml:space="preserve">Either a PhD, substantial progress towards PhD or a </w:t>
      </w:r>
      <w:proofErr w:type="gramStart"/>
      <w:r>
        <w:t>Master’s</w:t>
      </w:r>
      <w:proofErr w:type="gramEnd"/>
      <w:r>
        <w:t xml:space="preserve"> degree in a cancer related discipline or clinical specialisation</w:t>
      </w:r>
    </w:p>
    <w:p w14:paraId="12FF5C08" w14:textId="5E84FD10" w:rsidR="001E790F" w:rsidRDefault="001E790F" w:rsidP="009D2465">
      <w:pPr>
        <w:pStyle w:val="ListBullet"/>
        <w:numPr>
          <w:ilvl w:val="0"/>
          <w:numId w:val="8"/>
        </w:numPr>
        <w:tabs>
          <w:tab w:val="clear" w:pos="720"/>
          <w:tab w:val="num" w:pos="498"/>
        </w:tabs>
        <w:ind w:left="498"/>
        <w:jc w:val="both"/>
      </w:pPr>
      <w:r>
        <w:t xml:space="preserve">Demonstrated proficiency in non-clinical or clinical cancer research </w:t>
      </w:r>
    </w:p>
    <w:p w14:paraId="3569822E" w14:textId="77777777" w:rsidR="0059498F" w:rsidRPr="003938BB" w:rsidRDefault="00D058B6" w:rsidP="0059498F">
      <w:pPr>
        <w:pStyle w:val="ListBullet"/>
        <w:numPr>
          <w:ilvl w:val="0"/>
          <w:numId w:val="8"/>
        </w:numPr>
        <w:tabs>
          <w:tab w:val="clear" w:pos="720"/>
          <w:tab w:val="num" w:pos="498"/>
        </w:tabs>
        <w:ind w:left="498"/>
        <w:jc w:val="both"/>
      </w:pPr>
      <w:r>
        <w:t xml:space="preserve">Demonstrated skills and experience in supporting online learning communities </w:t>
      </w:r>
    </w:p>
    <w:p w14:paraId="2BB3FF38" w14:textId="77777777" w:rsidR="006B07E4" w:rsidRPr="0024079E" w:rsidRDefault="006B07E4" w:rsidP="006B07E4">
      <w:pPr>
        <w:pStyle w:val="ListBullet"/>
        <w:numPr>
          <w:ilvl w:val="0"/>
          <w:numId w:val="8"/>
        </w:numPr>
        <w:tabs>
          <w:tab w:val="clear" w:pos="720"/>
          <w:tab w:val="num" w:pos="498"/>
        </w:tabs>
        <w:ind w:left="498"/>
        <w:jc w:val="both"/>
      </w:pPr>
      <w:r>
        <w:t xml:space="preserve">Demonstrated excellent verbal and written communication skills for effective </w:t>
      </w:r>
      <w:r w:rsidR="00D058B6">
        <w:t>teaching</w:t>
      </w:r>
      <w:r>
        <w:t xml:space="preserve"> collaboration and engagement</w:t>
      </w:r>
    </w:p>
    <w:p w14:paraId="3352DF63" w14:textId="77777777" w:rsidR="00710E2C" w:rsidRDefault="00CE00F1" w:rsidP="005D705C">
      <w:pPr>
        <w:pStyle w:val="ListBullet"/>
        <w:numPr>
          <w:ilvl w:val="0"/>
          <w:numId w:val="8"/>
        </w:numPr>
        <w:tabs>
          <w:tab w:val="clear" w:pos="720"/>
          <w:tab w:val="num" w:pos="498"/>
        </w:tabs>
        <w:ind w:left="498"/>
        <w:jc w:val="both"/>
      </w:pPr>
      <w:r>
        <w:t>Proven rapport with university students and a commitment to pastoral matters</w:t>
      </w:r>
    </w:p>
    <w:p w14:paraId="0D509CDA" w14:textId="77777777" w:rsidR="00CE00F1" w:rsidRPr="005D705C" w:rsidRDefault="00CE00F1" w:rsidP="005D705C">
      <w:pPr>
        <w:pStyle w:val="ListBullet"/>
        <w:numPr>
          <w:ilvl w:val="0"/>
          <w:numId w:val="8"/>
        </w:numPr>
        <w:tabs>
          <w:tab w:val="clear" w:pos="720"/>
          <w:tab w:val="num" w:pos="498"/>
        </w:tabs>
        <w:ind w:left="498"/>
        <w:jc w:val="both"/>
      </w:pPr>
      <w:r>
        <w:t>Proven capacity to work in a team environment</w:t>
      </w:r>
    </w:p>
    <w:p w14:paraId="154DD4A8" w14:textId="77777777" w:rsidR="00CE00F1" w:rsidRPr="005D705C" w:rsidRDefault="00CE00F1" w:rsidP="005D705C">
      <w:pPr>
        <w:pStyle w:val="ListBullet"/>
        <w:numPr>
          <w:ilvl w:val="0"/>
          <w:numId w:val="8"/>
        </w:numPr>
        <w:tabs>
          <w:tab w:val="clear" w:pos="720"/>
          <w:tab w:val="num" w:pos="498"/>
        </w:tabs>
        <w:ind w:left="498"/>
        <w:jc w:val="both"/>
      </w:pPr>
      <w:r>
        <w:t>Working with Children Check</w:t>
      </w:r>
    </w:p>
    <w:p w14:paraId="65E3DE36" w14:textId="77777777" w:rsidR="00F072CF" w:rsidRDefault="00F072CF" w:rsidP="00A3421F">
      <w:pPr>
        <w:pStyle w:val="Heading2"/>
      </w:pPr>
      <w:r>
        <w:t>Desirable</w:t>
      </w:r>
    </w:p>
    <w:p w14:paraId="71D0ABC2" w14:textId="7C963419" w:rsidR="00EA030D" w:rsidRDefault="00011619" w:rsidP="005D705C">
      <w:pPr>
        <w:pStyle w:val="ListBullet"/>
        <w:numPr>
          <w:ilvl w:val="0"/>
          <w:numId w:val="8"/>
        </w:numPr>
        <w:tabs>
          <w:tab w:val="clear" w:pos="720"/>
          <w:tab w:val="num" w:pos="498"/>
        </w:tabs>
        <w:ind w:left="498"/>
        <w:jc w:val="both"/>
      </w:pPr>
      <w:r>
        <w:t>Demonstrated potential to supervise or co-supervise and mentor</w:t>
      </w:r>
      <w:r w:rsidR="00EA030D">
        <w:t xml:space="preserve"> </w:t>
      </w:r>
      <w:r w:rsidR="003B72CE">
        <w:t xml:space="preserve">undergraduate, </w:t>
      </w:r>
      <w:r w:rsidR="00EA030D">
        <w:t>honours and</w:t>
      </w:r>
      <w:r w:rsidR="003B72CE">
        <w:t xml:space="preserve"> </w:t>
      </w:r>
      <w:r w:rsidR="00EA030D">
        <w:t>postgraduate students where appropriate.</w:t>
      </w:r>
    </w:p>
    <w:p w14:paraId="6D5A3220" w14:textId="5C4083E3" w:rsidR="00265CA0" w:rsidRPr="005D705C" w:rsidRDefault="00324A74" w:rsidP="005D705C">
      <w:pPr>
        <w:pStyle w:val="ListBullet"/>
        <w:numPr>
          <w:ilvl w:val="0"/>
          <w:numId w:val="8"/>
        </w:numPr>
        <w:tabs>
          <w:tab w:val="clear" w:pos="720"/>
          <w:tab w:val="num" w:pos="498"/>
        </w:tabs>
        <w:ind w:left="498"/>
        <w:jc w:val="both"/>
      </w:pPr>
      <w:r>
        <w:t>Demonstrated experience administering student cohorts on learning management systems</w:t>
      </w:r>
    </w:p>
    <w:p w14:paraId="4AE8DD71" w14:textId="77777777" w:rsidR="00A81D35" w:rsidRDefault="00A81D35" w:rsidP="00A3421F">
      <w:pPr>
        <w:pStyle w:val="Heading1"/>
      </w:pPr>
      <w:r>
        <w:t>Equal Opportunity, Diversity and Inclusion</w:t>
      </w:r>
    </w:p>
    <w:p w14:paraId="62840347" w14:textId="77777777" w:rsidR="00A81D35" w:rsidRDefault="00A81D35" w:rsidP="00A3421F">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C825DD">
        <w:t>on the basis of</w:t>
      </w:r>
      <w:proofErr w:type="gramEnd"/>
      <w:r w:rsidRPr="00C825DD">
        <w:t xml:space="preserve"> merit.</w:t>
      </w:r>
    </w:p>
    <w:p w14:paraId="7D7EA2B7" w14:textId="77777777" w:rsidR="00A81D35" w:rsidRDefault="00A81D35" w:rsidP="00A3421F">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E354435" w14:textId="77777777" w:rsidR="00A81D35" w:rsidRDefault="00A81D35" w:rsidP="00A3421F">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w:t>
      </w:r>
      <w:r>
        <w:lastRenderedPageBreak/>
        <w:t xml:space="preserve">an environment where the compounding benefits of a diverse workforce are recognised as vital in our continuous </w:t>
      </w:r>
      <w:r w:rsidR="008D0A18">
        <w:t>desire to strive</w:t>
      </w:r>
      <w:r>
        <w:t xml:space="preserve"> for excellence and reach the targets of Growing Esteem.</w:t>
      </w:r>
    </w:p>
    <w:p w14:paraId="5C869DAA" w14:textId="77777777" w:rsidR="00A81D35" w:rsidRDefault="00A81D35" w:rsidP="00A3421F">
      <w:pPr>
        <w:pStyle w:val="Heading1"/>
      </w:pPr>
      <w:r>
        <w:t xml:space="preserve">Occupational Health and Safety (OHS) </w:t>
      </w:r>
    </w:p>
    <w:p w14:paraId="335B58B4" w14:textId="77777777" w:rsidR="00A81D35" w:rsidRPr="005D705C" w:rsidRDefault="00A81D35" w:rsidP="00A3421F">
      <w:pPr>
        <w:pStyle w:val="BodyTextIndent"/>
        <w:rPr>
          <w:rFonts w:eastAsia="Calibri"/>
        </w:rPr>
      </w:pPr>
      <w:r w:rsidRPr="005D705C">
        <w:rPr>
          <w:rFonts w:eastAsia="Calibri"/>
        </w:rPr>
        <w:t xml:space="preserve">All staff are required to take reasonable care for their own health and safety and that of other personnel who may be affected by their conduct.  </w:t>
      </w:r>
    </w:p>
    <w:p w14:paraId="5266B1FA" w14:textId="77777777" w:rsidR="00A81D35" w:rsidRPr="005D705C" w:rsidRDefault="00A81D35" w:rsidP="00A3421F">
      <w:pPr>
        <w:pStyle w:val="BodyTextIndent"/>
        <w:rPr>
          <w:rFonts w:eastAsia="Calibri"/>
        </w:rPr>
      </w:pPr>
      <w:r w:rsidRPr="005D705C">
        <w:rPr>
          <w:rFonts w:eastAsia="Calibri"/>
        </w:rPr>
        <w:t xml:space="preserve">OHS responsibilities applicable to positions are published at: </w:t>
      </w:r>
    </w:p>
    <w:p w14:paraId="48C6B3B0" w14:textId="77777777" w:rsidR="00A81D35" w:rsidRPr="005D705C" w:rsidRDefault="00365719" w:rsidP="00A3421F">
      <w:pPr>
        <w:pStyle w:val="BodyTextIndent"/>
        <w:rPr>
          <w:rFonts w:eastAsia="Calibri"/>
        </w:rPr>
      </w:pPr>
      <w:hyperlink r:id="rId11" w:history="1">
        <w:r w:rsidR="00A81D35" w:rsidRPr="005D705C">
          <w:rPr>
            <w:rFonts w:eastAsia="Calibri"/>
          </w:rPr>
          <w:t>http://safety.unimelb.edu.au/topics/responsibilities/</w:t>
        </w:r>
      </w:hyperlink>
    </w:p>
    <w:p w14:paraId="09E8480C" w14:textId="77777777" w:rsidR="00A81D35" w:rsidRPr="005D705C" w:rsidRDefault="00A81D35" w:rsidP="00A3421F">
      <w:pPr>
        <w:pStyle w:val="BodyTextIndent"/>
        <w:rPr>
          <w:rFonts w:eastAsia="Calibri"/>
        </w:rPr>
      </w:pPr>
      <w:r w:rsidRPr="005D705C">
        <w:rPr>
          <w:rFonts w:eastAsia="Calibri"/>
        </w:rPr>
        <w:t>These include general staff responsibilities and those additional responsibilities that apply for Managers and Supervisors and other Personnel.</w:t>
      </w:r>
    </w:p>
    <w:p w14:paraId="2F20B76C" w14:textId="77777777" w:rsidR="00905DEE" w:rsidRPr="00905DEE" w:rsidRDefault="003048EF" w:rsidP="00A3421F">
      <w:pPr>
        <w:pStyle w:val="Heading1"/>
      </w:pPr>
      <w:r>
        <w:t>Other Informatio</w:t>
      </w:r>
      <w:r w:rsidR="00905DEE">
        <w:t>n</w:t>
      </w:r>
    </w:p>
    <w:p w14:paraId="15297384" w14:textId="20C556F5" w:rsidR="003048EF" w:rsidRDefault="00B66814" w:rsidP="00A3421F">
      <w:pPr>
        <w:pStyle w:val="Heading2"/>
      </w:pPr>
      <w:r>
        <w:t>University of Melbourne Centre for cancer research</w:t>
      </w:r>
    </w:p>
    <w:p w14:paraId="03D3ECF3" w14:textId="19BEB5C4" w:rsidR="00C93428" w:rsidRDefault="00365719" w:rsidP="00C93428">
      <w:pPr>
        <w:pStyle w:val="NormalWeb"/>
        <w:shd w:val="clear" w:color="auto" w:fill="FFFFFF"/>
        <w:spacing w:before="120" w:beforeAutospacing="0" w:after="120" w:afterAutospacing="0" w:line="280" w:lineRule="exact"/>
        <w:ind w:left="567"/>
        <w:rPr>
          <w:rFonts w:ascii="Arial" w:hAnsi="Arial" w:cs="Arial"/>
          <w:color w:val="000000"/>
          <w:sz w:val="20"/>
          <w:szCs w:val="20"/>
        </w:rPr>
      </w:pPr>
      <w:hyperlink r:id="rId12" w:history="1">
        <w:r w:rsidR="00C93428" w:rsidRPr="0079189F">
          <w:rPr>
            <w:rStyle w:val="Hyperlink"/>
            <w:rFonts w:ascii="Arial" w:hAnsi="Arial" w:cs="Arial"/>
            <w:sz w:val="20"/>
            <w:szCs w:val="20"/>
          </w:rPr>
          <w:t>https://research.unimelb.edu.au/centre-for-cancer-research/about/about-us</w:t>
        </w:r>
      </w:hyperlink>
    </w:p>
    <w:p w14:paraId="626471D5" w14:textId="70FF0E49" w:rsidR="0028421A" w:rsidRPr="0028421A" w:rsidRDefault="0028421A" w:rsidP="00C93428">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C93428">
        <w:rPr>
          <w:rFonts w:ascii="Arial" w:hAnsi="Arial" w:cs="Arial"/>
          <w:color w:val="000000"/>
          <w:sz w:val="20"/>
          <w:szCs w:val="20"/>
        </w:rPr>
        <w:t xml:space="preserve">The </w:t>
      </w:r>
      <w:r w:rsidR="00C93428" w:rsidRPr="00C93428">
        <w:rPr>
          <w:rFonts w:ascii="Arial" w:hAnsi="Arial" w:cs="Arial"/>
          <w:iCs/>
          <w:color w:val="000000"/>
          <w:spacing w:val="3"/>
          <w:sz w:val="20"/>
          <w:szCs w:val="20"/>
          <w:shd w:val="clear" w:color="auto" w:fill="FFFFFF"/>
        </w:rPr>
        <w:t xml:space="preserve">University of Melbourne Centre for Cancer Research </w:t>
      </w:r>
      <w:r w:rsidR="00C93428" w:rsidRPr="00C93428">
        <w:rPr>
          <w:rFonts w:ascii="Arial" w:hAnsi="Arial" w:cs="Arial"/>
          <w:i/>
          <w:iCs/>
          <w:color w:val="000000"/>
          <w:spacing w:val="3"/>
          <w:sz w:val="20"/>
          <w:szCs w:val="20"/>
          <w:shd w:val="clear" w:color="auto" w:fill="FFFFFF"/>
        </w:rPr>
        <w:t>(</w:t>
      </w:r>
      <w:r w:rsidRPr="00C93428">
        <w:rPr>
          <w:rFonts w:ascii="Arial" w:hAnsi="Arial" w:cs="Arial"/>
          <w:color w:val="000000"/>
          <w:sz w:val="20"/>
          <w:szCs w:val="20"/>
        </w:rPr>
        <w:t>UMCCR</w:t>
      </w:r>
      <w:r w:rsidR="00C93428" w:rsidRPr="00C93428">
        <w:rPr>
          <w:rFonts w:ascii="Arial" w:hAnsi="Arial" w:cs="Arial"/>
          <w:color w:val="000000"/>
          <w:sz w:val="20"/>
          <w:szCs w:val="20"/>
        </w:rPr>
        <w:t>)</w:t>
      </w:r>
      <w:r w:rsidRPr="00C93428">
        <w:rPr>
          <w:rFonts w:ascii="Arial" w:hAnsi="Arial" w:cs="Arial"/>
          <w:color w:val="000000"/>
          <w:sz w:val="20"/>
          <w:szCs w:val="20"/>
        </w:rPr>
        <w:t xml:space="preserve"> aims to foster innovation and integration in cancer care, research, education and training to achieve</w:t>
      </w:r>
      <w:r w:rsidRPr="0028421A">
        <w:rPr>
          <w:rFonts w:ascii="Arial" w:hAnsi="Arial" w:cs="Arial"/>
          <w:color w:val="000000"/>
          <w:sz w:val="20"/>
          <w:szCs w:val="20"/>
        </w:rPr>
        <w:t xml:space="preserve"> a world-leading cancer centre and workforce.</w:t>
      </w:r>
      <w:r w:rsidR="00C93428">
        <w:rPr>
          <w:rFonts w:ascii="Arial" w:hAnsi="Arial" w:cs="Arial"/>
          <w:color w:val="000000"/>
          <w:sz w:val="20"/>
          <w:szCs w:val="20"/>
        </w:rPr>
        <w:t xml:space="preserve"> It</w:t>
      </w:r>
      <w:r w:rsidRPr="0028421A">
        <w:rPr>
          <w:rFonts w:ascii="Arial" w:hAnsi="Arial" w:cs="Arial"/>
          <w:color w:val="000000"/>
          <w:sz w:val="20"/>
          <w:szCs w:val="20"/>
        </w:rPr>
        <w:t xml:space="preserve"> focuses on improving the molecular detection and diagnosis of cancer, improving therapeutic decisions for patients through computational oncology, and enabling innovative programs in personalised cancer care.</w:t>
      </w:r>
    </w:p>
    <w:p w14:paraId="582DF103" w14:textId="5EA94FB6" w:rsidR="0028421A" w:rsidRPr="0028421A" w:rsidRDefault="0028421A" w:rsidP="00C93428">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28421A">
        <w:rPr>
          <w:rFonts w:ascii="Arial" w:hAnsi="Arial" w:cs="Arial"/>
          <w:color w:val="000000"/>
          <w:sz w:val="20"/>
          <w:szCs w:val="20"/>
        </w:rPr>
        <w:t>Based at the </w:t>
      </w:r>
      <w:hyperlink r:id="rId13" w:tgtFrame="_blank" w:history="1">
        <w:r w:rsidRPr="0028421A">
          <w:rPr>
            <w:rStyle w:val="Hyperlink"/>
            <w:rFonts w:ascii="Arial" w:hAnsi="Arial" w:cs="Arial"/>
            <w:color w:val="006FDC"/>
            <w:sz w:val="20"/>
            <w:szCs w:val="20"/>
          </w:rPr>
          <w:t>Victorian Comprehensive Cancer Centre</w:t>
        </w:r>
      </w:hyperlink>
      <w:r w:rsidRPr="0028421A">
        <w:rPr>
          <w:rFonts w:ascii="Arial" w:hAnsi="Arial" w:cs="Arial"/>
          <w:color w:val="000000"/>
          <w:sz w:val="20"/>
          <w:szCs w:val="20"/>
        </w:rPr>
        <w:t> (VCCC), the UMCCR facilitates the sharing of infrastructure and supports collaboration within the </w:t>
      </w:r>
      <w:hyperlink r:id="rId14" w:tgtFrame="_blank" w:history="1">
        <w:r w:rsidRPr="0028421A">
          <w:rPr>
            <w:rStyle w:val="Hyperlink"/>
            <w:rFonts w:ascii="Arial" w:hAnsi="Arial" w:cs="Arial"/>
            <w:color w:val="006FDC"/>
            <w:sz w:val="20"/>
            <w:szCs w:val="20"/>
          </w:rPr>
          <w:t>Melbourne Biomedical Precinct</w:t>
        </w:r>
      </w:hyperlink>
      <w:r w:rsidRPr="0028421A">
        <w:rPr>
          <w:rFonts w:ascii="Arial" w:hAnsi="Arial" w:cs="Arial"/>
          <w:color w:val="000000"/>
          <w:sz w:val="20"/>
          <w:szCs w:val="20"/>
        </w:rPr>
        <w:t> and the wider VCCC alliance.</w:t>
      </w:r>
      <w:r w:rsidR="00840783">
        <w:rPr>
          <w:rFonts w:ascii="Arial" w:hAnsi="Arial" w:cs="Arial"/>
          <w:color w:val="000000"/>
          <w:sz w:val="20"/>
          <w:szCs w:val="20"/>
        </w:rPr>
        <w:t xml:space="preserve"> </w:t>
      </w:r>
      <w:r w:rsidRPr="0028421A">
        <w:rPr>
          <w:rFonts w:ascii="Arial" w:hAnsi="Arial" w:cs="Arial"/>
          <w:color w:val="000000"/>
          <w:sz w:val="20"/>
          <w:szCs w:val="20"/>
        </w:rPr>
        <w:t>The UMCCR works in a wide variety of cancers including breast, ovarian, prostate, colorectal, pancreatic, neuroendocrine, gastric, oesophageal and melanoma, but recalcitrant cancers – for which the standard of care has changed little over the last 30 years – is an emerging theme.</w:t>
      </w:r>
    </w:p>
    <w:p w14:paraId="15F36B2A" w14:textId="77777777" w:rsidR="002D6D51" w:rsidRDefault="002D6D51" w:rsidP="00A3421F">
      <w:pPr>
        <w:pStyle w:val="Heading2"/>
      </w:pPr>
      <w:r w:rsidRPr="00E10F6E">
        <w:t xml:space="preserve">Faculty of Medicine, Dentistry and Health Sciences </w:t>
      </w:r>
    </w:p>
    <w:p w14:paraId="3662DAAA" w14:textId="77777777" w:rsidR="002D6D51" w:rsidRDefault="00365719" w:rsidP="002D6D51">
      <w:pPr>
        <w:pStyle w:val="Default"/>
        <w:spacing w:before="120" w:after="120" w:line="280" w:lineRule="exact"/>
        <w:ind w:left="539"/>
        <w:jc w:val="both"/>
        <w:rPr>
          <w:sz w:val="20"/>
          <w:szCs w:val="20"/>
        </w:rPr>
      </w:pPr>
      <w:hyperlink r:id="rId15" w:history="1">
        <w:r w:rsidR="002D6D51" w:rsidRPr="00793EA4">
          <w:rPr>
            <w:rStyle w:val="Hyperlink"/>
            <w:sz w:val="20"/>
            <w:szCs w:val="20"/>
          </w:rPr>
          <w:t>www.mdhs.unimelb.edu.au</w:t>
        </w:r>
      </w:hyperlink>
      <w:r w:rsidR="002D6D51">
        <w:rPr>
          <w:sz w:val="20"/>
          <w:szCs w:val="20"/>
        </w:rPr>
        <w:t xml:space="preserve">  </w:t>
      </w:r>
    </w:p>
    <w:p w14:paraId="096B6C46" w14:textId="77777777" w:rsidR="002D6D51" w:rsidRPr="002C2781" w:rsidRDefault="002D6D51" w:rsidP="002D6D51">
      <w:pPr>
        <w:spacing w:before="120" w:after="120" w:line="280" w:lineRule="exact"/>
        <w:ind w:left="567"/>
        <w:jc w:val="both"/>
        <w:rPr>
          <w:rFonts w:ascii="Arial" w:eastAsia="Calibri" w:hAnsi="Arial" w:cs="Arial"/>
          <w:color w:val="000000"/>
          <w:sz w:val="21"/>
          <w:szCs w:val="21"/>
        </w:rPr>
      </w:pPr>
      <w:r w:rsidRPr="002C2781">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79257BF6" w14:textId="77777777" w:rsidR="002D6D51" w:rsidRDefault="002D6D51" w:rsidP="00A3421F">
      <w:pPr>
        <w:pStyle w:val="BodyTextIndent"/>
        <w:rPr>
          <w:rStyle w:val="Hyperlink"/>
          <w:color w:val="auto"/>
        </w:rPr>
      </w:pPr>
      <w:r w:rsidRPr="002C2781">
        <w:rPr>
          <w:rFonts w:eastAsia="Calibri"/>
        </w:rPr>
        <w:t>The Faculty has appointed Australia’s first Associate Dean (Indigenous Development) to lead the development and implementation of the Faculty’s Reconciliation Action Plan (RAP), which will be aligned with the broader University</w:t>
      </w:r>
      <w:r>
        <w:rPr>
          <w:rFonts w:eastAsia="Calibri"/>
        </w:rPr>
        <w:t>-</w:t>
      </w:r>
      <w:r w:rsidRPr="002C2781">
        <w:rPr>
          <w:rFonts w:eastAsia="Calibri"/>
        </w:rPr>
        <w:t xml:space="preserve">wide plan. To enable the Faculty </w:t>
      </w:r>
      <w:r w:rsidRPr="002C2781">
        <w:rPr>
          <w:rFonts w:eastAsia="Calibri"/>
        </w:rPr>
        <w:lastRenderedPageBreak/>
        <w:t>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rPr>
        <w:t>.</w:t>
      </w:r>
      <w:r>
        <w:t xml:space="preserve"> </w:t>
      </w:r>
    </w:p>
    <w:p w14:paraId="2E1197F6" w14:textId="77777777" w:rsidR="002D6D51" w:rsidRDefault="002D6D51" w:rsidP="00A3421F">
      <w:pPr>
        <w:pStyle w:val="Heading2"/>
      </w:pPr>
      <w:r>
        <w:t>The University of Melbourne</w:t>
      </w:r>
    </w:p>
    <w:p w14:paraId="73FF7B20" w14:textId="77777777" w:rsidR="002D6D51" w:rsidRPr="00BC02FC" w:rsidRDefault="002D6D51" w:rsidP="00A3421F">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2B2374C2" w14:textId="77777777" w:rsidR="002D6D51" w:rsidRDefault="002D6D51" w:rsidP="00A3421F">
      <w:pPr>
        <w:pStyle w:val="BodyTextIndent"/>
      </w:pPr>
      <w:r w:rsidRPr="00C56A86">
        <w:t xml:space="preserve">The University employs people of outstanding calibre and offers a unique environment where staff are valued and rewarded. </w:t>
      </w:r>
    </w:p>
    <w:p w14:paraId="0A431351" w14:textId="77777777" w:rsidR="002D6D51" w:rsidRPr="00C56A86" w:rsidRDefault="002D6D51" w:rsidP="00A3421F">
      <w:pPr>
        <w:pStyle w:val="BodyTextIndent"/>
      </w:pPr>
      <w:r w:rsidRPr="00C56A86">
        <w:t>Further information about working at The University of Melbourne is available at</w:t>
      </w:r>
      <w:r w:rsidRPr="00BC02FC">
        <w:rPr>
          <w:color w:val="336699"/>
        </w:rPr>
        <w:t xml:space="preserve"> </w:t>
      </w:r>
      <w:hyperlink r:id="rId16" w:history="1">
        <w:r w:rsidRPr="00BC02FC">
          <w:rPr>
            <w:rStyle w:val="Hyperlink"/>
          </w:rPr>
          <w:t>http://about.unimelb.edu.au/careers</w:t>
        </w:r>
      </w:hyperlink>
      <w:r>
        <w:t>.</w:t>
      </w:r>
    </w:p>
    <w:p w14:paraId="06FFB364" w14:textId="261FAFA4" w:rsidR="00DA4508" w:rsidRDefault="000B4D72" w:rsidP="00A3421F">
      <w:pPr>
        <w:pStyle w:val="Heading2"/>
      </w:pPr>
      <w:r>
        <w:t>VICTORIAN COMPREHENSIVE CANCER CENTRE</w:t>
      </w:r>
    </w:p>
    <w:p w14:paraId="45486907" w14:textId="20E04591" w:rsidR="009748AA" w:rsidRDefault="00365719" w:rsidP="00C93428">
      <w:pPr>
        <w:spacing w:before="120" w:after="120" w:line="280" w:lineRule="exact"/>
        <w:ind w:left="567"/>
        <w:rPr>
          <w:rStyle w:val="Hyperlink"/>
          <w:rFonts w:ascii="Arial" w:hAnsi="Arial" w:cs="Arial"/>
          <w:sz w:val="20"/>
          <w:szCs w:val="20"/>
        </w:rPr>
      </w:pPr>
      <w:hyperlink r:id="rId17" w:history="1">
        <w:r w:rsidR="009748AA" w:rsidRPr="0079189F">
          <w:rPr>
            <w:rStyle w:val="Hyperlink"/>
            <w:rFonts w:ascii="Arial" w:hAnsi="Arial" w:cs="Arial"/>
            <w:sz w:val="20"/>
            <w:szCs w:val="20"/>
          </w:rPr>
          <w:t>https://www.viccompcancerctr.org/</w:t>
        </w:r>
      </w:hyperlink>
    </w:p>
    <w:p w14:paraId="52D0B7A2" w14:textId="3A8CC403" w:rsidR="00796430" w:rsidRPr="00C93428" w:rsidRDefault="00796430" w:rsidP="00C93428">
      <w:pPr>
        <w:spacing w:before="120" w:after="120" w:line="280" w:lineRule="exact"/>
        <w:ind w:left="567"/>
        <w:rPr>
          <w:rFonts w:ascii="Arial" w:hAnsi="Arial" w:cs="Arial"/>
          <w:sz w:val="20"/>
          <w:szCs w:val="20"/>
          <w:shd w:val="clear" w:color="auto" w:fill="FFFFFF"/>
        </w:rPr>
      </w:pPr>
      <w:r w:rsidRPr="00C93428">
        <w:rPr>
          <w:rFonts w:ascii="Arial" w:hAnsi="Arial" w:cs="Arial"/>
          <w:sz w:val="20"/>
          <w:szCs w:val="20"/>
          <w:shd w:val="clear" w:color="auto" w:fill="FFFFFF"/>
        </w:rPr>
        <w:t>The Victorian Comprehensive Cancer Centre (VCCC) was established in 2009 and is a powerful alliance of ten successful Victorian organisations committed to cancer control: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w:t>
      </w:r>
    </w:p>
    <w:p w14:paraId="28A1E3B9" w14:textId="2D56B62E" w:rsidR="000B4D72" w:rsidRPr="00C93428" w:rsidRDefault="00796430" w:rsidP="00C93428">
      <w:pPr>
        <w:spacing w:before="120" w:after="120" w:line="280" w:lineRule="exact"/>
        <w:ind w:left="567"/>
        <w:rPr>
          <w:rFonts w:ascii="Arial" w:hAnsi="Arial" w:cs="Arial"/>
          <w:sz w:val="20"/>
          <w:szCs w:val="20"/>
          <w:shd w:val="clear" w:color="auto" w:fill="FFFFFF"/>
        </w:rPr>
      </w:pPr>
      <w:r w:rsidRPr="00C93428">
        <w:rPr>
          <w:rFonts w:ascii="Arial" w:hAnsi="Arial" w:cs="Arial"/>
          <w:sz w:val="20"/>
          <w:szCs w:val="20"/>
        </w:rPr>
        <w:t xml:space="preserve">The Master of Cancer Sciences </w:t>
      </w:r>
      <w:r w:rsidR="00E212E1">
        <w:rPr>
          <w:rFonts w:ascii="Arial" w:hAnsi="Arial" w:cs="Arial"/>
          <w:sz w:val="20"/>
          <w:szCs w:val="20"/>
        </w:rPr>
        <w:t>(</w:t>
      </w:r>
      <w:r w:rsidRPr="00C93428">
        <w:rPr>
          <w:rFonts w:ascii="Arial" w:hAnsi="Arial" w:cs="Arial"/>
          <w:sz w:val="20"/>
          <w:szCs w:val="20"/>
        </w:rPr>
        <w:t>and its nested programming</w:t>
      </w:r>
      <w:r w:rsidR="00E212E1">
        <w:rPr>
          <w:rFonts w:ascii="Arial" w:hAnsi="Arial" w:cs="Arial"/>
          <w:sz w:val="20"/>
          <w:szCs w:val="20"/>
        </w:rPr>
        <w:t>)</w:t>
      </w:r>
      <w:r w:rsidRPr="00C93428">
        <w:rPr>
          <w:rFonts w:ascii="Arial" w:hAnsi="Arial" w:cs="Arial"/>
          <w:sz w:val="20"/>
          <w:szCs w:val="20"/>
        </w:rPr>
        <w:t xml:space="preserve">, is a major educational initiative of the VCCC's Strategic Research Plan. This is governed by the VCCC Cancer Education and Training Advisory Committee and the VCCC Board, and managed and supported by the Course Development Convenors, Head of Education and Training Development, Project Lead of Graduate Programs and the education team. </w:t>
      </w:r>
    </w:p>
    <w:p w14:paraId="4A48BFED" w14:textId="76932BAE" w:rsidR="002D6D51" w:rsidRDefault="002D6D51" w:rsidP="00A3421F">
      <w:pPr>
        <w:pStyle w:val="Heading2"/>
      </w:pPr>
      <w:r>
        <w:t>Growing Esteem, the Melbourne Curriculum and Research at melbourne: Ensuring excellence and impact to 2025</w:t>
      </w:r>
    </w:p>
    <w:p w14:paraId="63F7B519" w14:textId="77777777" w:rsidR="002D6D51" w:rsidRDefault="002D6D51" w:rsidP="00A3421F">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18" w:history="1">
        <w:r w:rsidRPr="00BC02FC">
          <w:rPr>
            <w:rStyle w:val="Hyperlink"/>
          </w:rPr>
          <w:t>http://about.unimelb.edu.au/strategy-and-leadership</w:t>
        </w:r>
      </w:hyperlink>
    </w:p>
    <w:p w14:paraId="30EB5D4B" w14:textId="77777777" w:rsidR="002D6D51" w:rsidRDefault="002D6D51" w:rsidP="00A3421F">
      <w:pPr>
        <w:pStyle w:val="BodyTextIndent"/>
      </w:pPr>
      <w:r w:rsidRPr="00290FE0">
        <w:t xml:space="preserve">The University is at the forefront of Australia's changing higher education system and offers a distinctive model of education known collectively as the Melbourne </w:t>
      </w:r>
      <w:r>
        <w:t>Curriculum</w:t>
      </w:r>
      <w:r w:rsidRPr="00290FE0">
        <w:t xml:space="preserve">. The new educational model, designed for an outstanding experience for all students, is based </w:t>
      </w:r>
      <w:r>
        <w:t xml:space="preserve">on six broad undergraduate programs followed by a graduate professional degree, research higher degree or entry directly into employment. The emphasis on academic breadth as well as disciplinary depth in the new degrees ensures that graduates will have </w:t>
      </w:r>
      <w:r>
        <w:lastRenderedPageBreak/>
        <w:t>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5066DE96" w14:textId="77777777" w:rsidR="002D6D51" w:rsidRPr="00F82076" w:rsidRDefault="002D6D51" w:rsidP="00A3421F">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19" w:history="1">
        <w:r w:rsidRPr="009C7F8B">
          <w:rPr>
            <w:rStyle w:val="Hyperlink"/>
            <w:rFonts w:cs="Arial"/>
            <w:szCs w:val="20"/>
          </w:rPr>
          <w:t>http://research.unimelb.edu.au/our-research/research-at-melbourne</w:t>
        </w:r>
      </w:hyperlink>
    </w:p>
    <w:p w14:paraId="15760041" w14:textId="77777777" w:rsidR="002D6D51" w:rsidRPr="00FA4289" w:rsidRDefault="002D6D51" w:rsidP="00A3421F">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6AF47655" w14:textId="77777777" w:rsidR="002D6D51" w:rsidRPr="00FA4289" w:rsidRDefault="002D6D51" w:rsidP="002D6D51">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3F6C87FA" w14:textId="77777777" w:rsidR="002D6D51" w:rsidRPr="00FA4289" w:rsidRDefault="002D6D51" w:rsidP="002D6D51">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41A94747" w14:textId="77777777" w:rsidR="002D6D51" w:rsidRDefault="002D6D51" w:rsidP="002D6D51">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1620573F" w14:textId="77777777" w:rsidR="002D6D51" w:rsidRPr="007501E5" w:rsidRDefault="002D6D51" w:rsidP="00A3421F">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71BFC74D" w14:textId="77777777" w:rsidR="002D6D51" w:rsidRPr="001B0483" w:rsidRDefault="002D6D51" w:rsidP="00A3421F">
      <w:pPr>
        <w:pStyle w:val="Heading2"/>
      </w:pPr>
      <w:r w:rsidRPr="001B0483">
        <w:t>Governance</w:t>
      </w:r>
    </w:p>
    <w:p w14:paraId="654DD6BF" w14:textId="77777777" w:rsidR="002D6D51" w:rsidRPr="00FA4289" w:rsidRDefault="002D6D51" w:rsidP="00A3421F">
      <w:pPr>
        <w:pStyle w:val="BodyTextIndent"/>
      </w:pPr>
      <w:r w:rsidRPr="00FA4289">
        <w:t>The Vice Chancellor is the Chief Executive Officer of the University and responsible to Council for the good management of the University.</w:t>
      </w:r>
    </w:p>
    <w:p w14:paraId="76344E4D" w14:textId="77777777" w:rsidR="002D6D51" w:rsidRPr="00BC02FC" w:rsidRDefault="002D6D51" w:rsidP="00A3421F">
      <w:pPr>
        <w:pStyle w:val="BodyTextIndent"/>
        <w:rPr>
          <w:color w:val="336699"/>
        </w:rPr>
      </w:pPr>
      <w:r w:rsidRPr="00FA4289">
        <w:t>Comprehensive information about the University of Melbourne and its governance structure is available at</w:t>
      </w:r>
      <w:r>
        <w:t xml:space="preserve"> </w:t>
      </w:r>
      <w:hyperlink r:id="rId20" w:history="1">
        <w:r w:rsidRPr="007501E5">
          <w:rPr>
            <w:rStyle w:val="Hyperlink"/>
            <w:rFonts w:cs="Arial"/>
            <w:szCs w:val="20"/>
          </w:rPr>
          <w:t>http://www.unimelb.edu.au/governance</w:t>
        </w:r>
      </w:hyperlink>
      <w:r>
        <w:t xml:space="preserve">  </w:t>
      </w:r>
    </w:p>
    <w:p w14:paraId="4FACD5E9" w14:textId="77777777" w:rsidR="002D6D51" w:rsidRDefault="002D6D51" w:rsidP="00A3421F">
      <w:pPr>
        <w:pStyle w:val="BodyTextIndent"/>
      </w:pPr>
    </w:p>
    <w:p w14:paraId="349721E3" w14:textId="77777777" w:rsidR="002D6D51" w:rsidRDefault="002D6D51" w:rsidP="00A3421F">
      <w:pPr>
        <w:pStyle w:val="BodyTextIndent"/>
      </w:pPr>
    </w:p>
    <w:p w14:paraId="24FBDDEE" w14:textId="77777777" w:rsidR="002D6D51" w:rsidRPr="00CA2B0E" w:rsidRDefault="002D6D51" w:rsidP="00A3421F">
      <w:pPr>
        <w:pStyle w:val="BodyTextIndent"/>
      </w:pPr>
    </w:p>
    <w:p w14:paraId="6D7DAC7B" w14:textId="77777777" w:rsidR="002D6D51" w:rsidRPr="00D135E3" w:rsidRDefault="002D6D51" w:rsidP="00A3421F">
      <w:pPr>
        <w:pStyle w:val="BodyTextIndent"/>
        <w:rPr>
          <w:rStyle w:val="Hyperlink"/>
        </w:rPr>
      </w:pPr>
    </w:p>
    <w:sectPr w:rsidR="002D6D51" w:rsidRPr="00D135E3" w:rsidSect="00E36AF0">
      <w:headerReference w:type="even" r:id="rId21"/>
      <w:headerReference w:type="default" r:id="rId22"/>
      <w:footerReference w:type="even" r:id="rId23"/>
      <w:footerReference w:type="default" r:id="rId24"/>
      <w:headerReference w:type="first" r:id="rId25"/>
      <w:footerReference w:type="first" r:id="rId26"/>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29E3" w14:textId="77777777" w:rsidR="00591D1A" w:rsidRDefault="00591D1A">
      <w:r>
        <w:separator/>
      </w:r>
    </w:p>
    <w:p w14:paraId="64A2AA5A" w14:textId="77777777" w:rsidR="00591D1A" w:rsidRDefault="00591D1A"/>
  </w:endnote>
  <w:endnote w:type="continuationSeparator" w:id="0">
    <w:p w14:paraId="4F6ABD86" w14:textId="77777777" w:rsidR="00591D1A" w:rsidRDefault="00591D1A">
      <w:r>
        <w:continuationSeparator/>
      </w:r>
    </w:p>
    <w:p w14:paraId="4CF5A89A" w14:textId="77777777" w:rsidR="00591D1A" w:rsidRDefault="0059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A8C8" w14:textId="77777777" w:rsidR="00304C12" w:rsidRDefault="00304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6503" w14:textId="77777777"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816C15">
      <w:rPr>
        <w:noProof/>
      </w:rPr>
      <w:t>6</w:t>
    </w:r>
    <w:r>
      <w:fldChar w:fldCharType="end"/>
    </w:r>
    <w:r>
      <w:t xml:space="preserve"> of </w:t>
    </w:r>
    <w:r w:rsidR="005B52B3">
      <w:rPr>
        <w:noProof/>
      </w:rPr>
      <w:fldChar w:fldCharType="begin"/>
    </w:r>
    <w:r w:rsidR="005B52B3">
      <w:rPr>
        <w:noProof/>
      </w:rPr>
      <w:instrText xml:space="preserve"> NUMPAGES </w:instrText>
    </w:r>
    <w:r w:rsidR="005B52B3">
      <w:rPr>
        <w:noProof/>
      </w:rPr>
      <w:fldChar w:fldCharType="separate"/>
    </w:r>
    <w:r w:rsidR="00816C15">
      <w:rPr>
        <w:noProof/>
      </w:rPr>
      <w:t>6</w:t>
    </w:r>
    <w:r w:rsidR="005B52B3">
      <w:rPr>
        <w:noProof/>
      </w:rPr>
      <w:fldChar w:fldCharType="end"/>
    </w:r>
  </w:p>
  <w:p w14:paraId="7FE4F4C9" w14:textId="77777777" w:rsidR="00304C12" w:rsidRDefault="00304C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BCFD" w14:textId="77777777"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304C12" w14:paraId="10CAA3A5" w14:textId="77777777" w:rsidTr="00301313">
      <w:tc>
        <w:tcPr>
          <w:tcW w:w="2906" w:type="dxa"/>
        </w:tcPr>
        <w:p w14:paraId="73DDEFC1" w14:textId="77777777" w:rsidR="00304C12" w:rsidRDefault="00304C12"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2443A1A5" w14:textId="77777777" w:rsidR="00304C12" w:rsidRDefault="00304C12"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14:paraId="519D0B63" w14:textId="77777777" w:rsidR="00304C12" w:rsidRDefault="00304C12"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48F499C7" w14:textId="77777777" w:rsidR="00304C12" w:rsidRDefault="00304C12" w:rsidP="00855C2D">
    <w:pPr>
      <w:pStyle w:val="Footer"/>
      <w:tabs>
        <w:tab w:val="clear" w:pos="4153"/>
        <w:tab w:val="clear" w:pos="8306"/>
        <w:tab w:val="center" w:pos="4500"/>
        <w:tab w:val="right" w:pos="8460"/>
      </w:tabs>
    </w:pPr>
    <w:r>
      <w:tab/>
    </w:r>
    <w:r>
      <w:tab/>
    </w:r>
  </w:p>
  <w:p w14:paraId="6ABC40E8" w14:textId="77777777"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816C15">
      <w:rPr>
        <w:noProof/>
      </w:rPr>
      <w:t>1</w:t>
    </w:r>
    <w:r>
      <w:fldChar w:fldCharType="end"/>
    </w:r>
    <w:r>
      <w:t xml:space="preserve"> of </w:t>
    </w:r>
    <w:r w:rsidR="005B52B3">
      <w:rPr>
        <w:noProof/>
      </w:rPr>
      <w:fldChar w:fldCharType="begin"/>
    </w:r>
    <w:r w:rsidR="005B52B3">
      <w:rPr>
        <w:noProof/>
      </w:rPr>
      <w:instrText xml:space="preserve"> NUMPAGES </w:instrText>
    </w:r>
    <w:r w:rsidR="005B52B3">
      <w:rPr>
        <w:noProof/>
      </w:rPr>
      <w:fldChar w:fldCharType="separate"/>
    </w:r>
    <w:r w:rsidR="00816C15">
      <w:rPr>
        <w:noProof/>
      </w:rPr>
      <w:t>6</w:t>
    </w:r>
    <w:r w:rsidR="005B52B3">
      <w:rPr>
        <w:noProof/>
      </w:rPr>
      <w:fldChar w:fldCharType="end"/>
    </w:r>
  </w:p>
  <w:p w14:paraId="5312E769"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300A" w14:textId="77777777" w:rsidR="00591D1A" w:rsidRDefault="00591D1A">
      <w:r>
        <w:separator/>
      </w:r>
    </w:p>
    <w:p w14:paraId="01BCC521" w14:textId="77777777" w:rsidR="00591D1A" w:rsidRDefault="00591D1A"/>
  </w:footnote>
  <w:footnote w:type="continuationSeparator" w:id="0">
    <w:p w14:paraId="46201439" w14:textId="77777777" w:rsidR="00591D1A" w:rsidRDefault="00591D1A">
      <w:r>
        <w:continuationSeparator/>
      </w:r>
    </w:p>
    <w:p w14:paraId="57B49E34" w14:textId="77777777" w:rsidR="00591D1A" w:rsidRDefault="00591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045E" w14:textId="77777777" w:rsidR="00304C12" w:rsidRDefault="0030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5569" w14:textId="77777777" w:rsidR="00304C12" w:rsidRPr="00F5435A" w:rsidRDefault="00304C12" w:rsidP="00855C2D">
    <w:pPr>
      <w:pStyle w:val="HeaderText"/>
      <w:tabs>
        <w:tab w:val="clear" w:pos="4153"/>
        <w:tab w:val="clear" w:pos="8306"/>
        <w:tab w:val="center" w:pos="4500"/>
        <w:tab w:val="right" w:pos="8460"/>
      </w:tabs>
    </w:pPr>
    <w:r>
      <w:t xml:space="preserve">Position number </w:t>
    </w:r>
    <w:r>
      <w:tab/>
    </w:r>
    <w:r>
      <w:tab/>
      <w:t>The University of Melbourne</w:t>
    </w:r>
  </w:p>
  <w:p w14:paraId="34787DCE" w14:textId="77777777" w:rsidR="00304C12" w:rsidRDefault="00304C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2C14" w14:textId="77777777" w:rsidR="00304C12" w:rsidRDefault="0030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FEC2D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w14:anchorId="55F71858" id="_x0000_i1027" type="#_x0000_t75" style="width:9pt;height:9pt" o:bullet="t">
        <v:imagedata r:id="rId2" o:title="BD10255_"/>
      </v:shape>
    </w:pict>
  </w:numPicBullet>
  <w:numPicBullet w:numPicBulletId="2">
    <w:pict>
      <v:shape id="_x0000_i102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38D6638"/>
    <w:multiLevelType w:val="hybridMultilevel"/>
    <w:tmpl w:val="2C52C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93F17C0"/>
    <w:multiLevelType w:val="hybridMultilevel"/>
    <w:tmpl w:val="C28039C6"/>
    <w:lvl w:ilvl="0" w:tplc="04090003">
      <w:start w:val="1"/>
      <w:numFmt w:val="bullet"/>
      <w:lvlText w:val="o"/>
      <w:lvlJc w:val="left"/>
      <w:pPr>
        <w:tabs>
          <w:tab w:val="num" w:pos="360"/>
        </w:tabs>
        <w:ind w:left="360" w:hanging="360"/>
      </w:pPr>
      <w:rPr>
        <w:rFonts w:ascii="Courier New" w:hAnsi="Courier New"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5"/>
  </w:num>
  <w:num w:numId="6">
    <w:abstractNumId w:val="18"/>
  </w:num>
  <w:num w:numId="7">
    <w:abstractNumId w:val="17"/>
  </w:num>
  <w:num w:numId="8">
    <w:abstractNumId w:val="5"/>
  </w:num>
  <w:num w:numId="9">
    <w:abstractNumId w:val="16"/>
  </w:num>
  <w:num w:numId="10">
    <w:abstractNumId w:val="13"/>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1"/>
  </w:num>
  <w:num w:numId="15">
    <w:abstractNumId w:val="10"/>
  </w:num>
  <w:num w:numId="16">
    <w:abstractNumId w:val="2"/>
  </w:num>
  <w:num w:numId="17">
    <w:abstractNumId w:val="9"/>
  </w:num>
  <w:num w:numId="18">
    <w:abstractNumId w:val="20"/>
  </w:num>
  <w:num w:numId="19">
    <w:abstractNumId w:val="3"/>
  </w:num>
  <w:num w:numId="20">
    <w:abstractNumId w:val="14"/>
  </w:num>
  <w:num w:numId="21">
    <w:abstractNumId w:val="5"/>
  </w:num>
  <w:num w:numId="22">
    <w:abstractNumId w:val="15"/>
  </w:num>
  <w:num w:numId="23">
    <w:abstractNumId w:val="15"/>
  </w:num>
  <w:num w:numId="24">
    <w:abstractNumId w:val="8"/>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1A"/>
    <w:rsid w:val="00000898"/>
    <w:rsid w:val="00000D66"/>
    <w:rsid w:val="0000131C"/>
    <w:rsid w:val="00002649"/>
    <w:rsid w:val="00011619"/>
    <w:rsid w:val="00012400"/>
    <w:rsid w:val="00012693"/>
    <w:rsid w:val="00013BB5"/>
    <w:rsid w:val="0001426E"/>
    <w:rsid w:val="0002292F"/>
    <w:rsid w:val="00023D11"/>
    <w:rsid w:val="000256AE"/>
    <w:rsid w:val="00030030"/>
    <w:rsid w:val="00031B38"/>
    <w:rsid w:val="00034C9F"/>
    <w:rsid w:val="00036024"/>
    <w:rsid w:val="00042727"/>
    <w:rsid w:val="000451BD"/>
    <w:rsid w:val="00046A6B"/>
    <w:rsid w:val="000525E3"/>
    <w:rsid w:val="000528BA"/>
    <w:rsid w:val="00053989"/>
    <w:rsid w:val="00062ACC"/>
    <w:rsid w:val="000634F4"/>
    <w:rsid w:val="000668B5"/>
    <w:rsid w:val="00070F24"/>
    <w:rsid w:val="0007475F"/>
    <w:rsid w:val="000765DD"/>
    <w:rsid w:val="0008001E"/>
    <w:rsid w:val="0009553D"/>
    <w:rsid w:val="00097A48"/>
    <w:rsid w:val="000A1EFD"/>
    <w:rsid w:val="000A2593"/>
    <w:rsid w:val="000A3552"/>
    <w:rsid w:val="000A3CEF"/>
    <w:rsid w:val="000A5B73"/>
    <w:rsid w:val="000B01AD"/>
    <w:rsid w:val="000B0359"/>
    <w:rsid w:val="000B4D72"/>
    <w:rsid w:val="000C47B5"/>
    <w:rsid w:val="000D17A8"/>
    <w:rsid w:val="000D312B"/>
    <w:rsid w:val="000D6A7C"/>
    <w:rsid w:val="000D73FD"/>
    <w:rsid w:val="000E0964"/>
    <w:rsid w:val="000E354F"/>
    <w:rsid w:val="000E45DE"/>
    <w:rsid w:val="000F0531"/>
    <w:rsid w:val="000F18C0"/>
    <w:rsid w:val="000F3BD2"/>
    <w:rsid w:val="000F5EE2"/>
    <w:rsid w:val="001001C6"/>
    <w:rsid w:val="001014CC"/>
    <w:rsid w:val="001073A9"/>
    <w:rsid w:val="00111ED8"/>
    <w:rsid w:val="001146DF"/>
    <w:rsid w:val="00117B28"/>
    <w:rsid w:val="00120951"/>
    <w:rsid w:val="00121A2C"/>
    <w:rsid w:val="001246B1"/>
    <w:rsid w:val="00126BF8"/>
    <w:rsid w:val="001307BD"/>
    <w:rsid w:val="00131A54"/>
    <w:rsid w:val="00134BB5"/>
    <w:rsid w:val="00140F3C"/>
    <w:rsid w:val="00145617"/>
    <w:rsid w:val="00151A41"/>
    <w:rsid w:val="00154871"/>
    <w:rsid w:val="001567DB"/>
    <w:rsid w:val="001608DB"/>
    <w:rsid w:val="00160C7B"/>
    <w:rsid w:val="001674F5"/>
    <w:rsid w:val="00167AB6"/>
    <w:rsid w:val="00167D61"/>
    <w:rsid w:val="00167FD1"/>
    <w:rsid w:val="001702E4"/>
    <w:rsid w:val="00171E57"/>
    <w:rsid w:val="00173287"/>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C7FB2"/>
    <w:rsid w:val="001D717B"/>
    <w:rsid w:val="001D79FC"/>
    <w:rsid w:val="001E0B46"/>
    <w:rsid w:val="001E2E0E"/>
    <w:rsid w:val="001E31BC"/>
    <w:rsid w:val="001E4B4E"/>
    <w:rsid w:val="001E60E6"/>
    <w:rsid w:val="001E790F"/>
    <w:rsid w:val="00200B3B"/>
    <w:rsid w:val="00202C10"/>
    <w:rsid w:val="00205438"/>
    <w:rsid w:val="0021058E"/>
    <w:rsid w:val="00213E24"/>
    <w:rsid w:val="0021408B"/>
    <w:rsid w:val="0021575F"/>
    <w:rsid w:val="00222033"/>
    <w:rsid w:val="00223E67"/>
    <w:rsid w:val="00223F38"/>
    <w:rsid w:val="002312EB"/>
    <w:rsid w:val="00231FCC"/>
    <w:rsid w:val="00233F7F"/>
    <w:rsid w:val="00234A39"/>
    <w:rsid w:val="0024079E"/>
    <w:rsid w:val="002425E3"/>
    <w:rsid w:val="002454F7"/>
    <w:rsid w:val="00250F76"/>
    <w:rsid w:val="00252DDC"/>
    <w:rsid w:val="00253F36"/>
    <w:rsid w:val="00254F1C"/>
    <w:rsid w:val="002604F8"/>
    <w:rsid w:val="00262A8B"/>
    <w:rsid w:val="00264060"/>
    <w:rsid w:val="00265691"/>
    <w:rsid w:val="002659C7"/>
    <w:rsid w:val="00265CA0"/>
    <w:rsid w:val="002663F0"/>
    <w:rsid w:val="00271185"/>
    <w:rsid w:val="002766D6"/>
    <w:rsid w:val="002766EF"/>
    <w:rsid w:val="00281096"/>
    <w:rsid w:val="00283B3C"/>
    <w:rsid w:val="0028421A"/>
    <w:rsid w:val="00290FE0"/>
    <w:rsid w:val="00291468"/>
    <w:rsid w:val="00291813"/>
    <w:rsid w:val="00293341"/>
    <w:rsid w:val="00297A51"/>
    <w:rsid w:val="002A0BF4"/>
    <w:rsid w:val="002C50E5"/>
    <w:rsid w:val="002C746F"/>
    <w:rsid w:val="002C760C"/>
    <w:rsid w:val="002D4CAA"/>
    <w:rsid w:val="002D6D51"/>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24A74"/>
    <w:rsid w:val="00331CB5"/>
    <w:rsid w:val="003359F3"/>
    <w:rsid w:val="00335B8E"/>
    <w:rsid w:val="0033663F"/>
    <w:rsid w:val="00347480"/>
    <w:rsid w:val="00350F61"/>
    <w:rsid w:val="0035169E"/>
    <w:rsid w:val="0035599B"/>
    <w:rsid w:val="00355F02"/>
    <w:rsid w:val="0036045F"/>
    <w:rsid w:val="00363214"/>
    <w:rsid w:val="003645EE"/>
    <w:rsid w:val="00365719"/>
    <w:rsid w:val="00372D74"/>
    <w:rsid w:val="00373D6D"/>
    <w:rsid w:val="0038168D"/>
    <w:rsid w:val="003857E5"/>
    <w:rsid w:val="00387B39"/>
    <w:rsid w:val="003978A4"/>
    <w:rsid w:val="003A0439"/>
    <w:rsid w:val="003A3137"/>
    <w:rsid w:val="003A3DC5"/>
    <w:rsid w:val="003B3D69"/>
    <w:rsid w:val="003B48D1"/>
    <w:rsid w:val="003B72CE"/>
    <w:rsid w:val="003C347E"/>
    <w:rsid w:val="003C6559"/>
    <w:rsid w:val="003C69F7"/>
    <w:rsid w:val="003D3D3F"/>
    <w:rsid w:val="003D62F6"/>
    <w:rsid w:val="003E3D30"/>
    <w:rsid w:val="003E5EB9"/>
    <w:rsid w:val="003E6B14"/>
    <w:rsid w:val="003F305E"/>
    <w:rsid w:val="003F3284"/>
    <w:rsid w:val="003F4E27"/>
    <w:rsid w:val="003F5050"/>
    <w:rsid w:val="003F5BFF"/>
    <w:rsid w:val="003F685E"/>
    <w:rsid w:val="003F7874"/>
    <w:rsid w:val="00401278"/>
    <w:rsid w:val="004020A7"/>
    <w:rsid w:val="004058FD"/>
    <w:rsid w:val="00413B6A"/>
    <w:rsid w:val="00414DF6"/>
    <w:rsid w:val="00423169"/>
    <w:rsid w:val="00424C2F"/>
    <w:rsid w:val="00425D6C"/>
    <w:rsid w:val="00427582"/>
    <w:rsid w:val="00430458"/>
    <w:rsid w:val="00432706"/>
    <w:rsid w:val="00432B15"/>
    <w:rsid w:val="00441DDC"/>
    <w:rsid w:val="004444E3"/>
    <w:rsid w:val="004447DB"/>
    <w:rsid w:val="004453AD"/>
    <w:rsid w:val="004454A5"/>
    <w:rsid w:val="00445CC2"/>
    <w:rsid w:val="00445EAB"/>
    <w:rsid w:val="0045441D"/>
    <w:rsid w:val="004551ED"/>
    <w:rsid w:val="004606B2"/>
    <w:rsid w:val="0046210A"/>
    <w:rsid w:val="00462DFC"/>
    <w:rsid w:val="0047376C"/>
    <w:rsid w:val="00475696"/>
    <w:rsid w:val="004816C5"/>
    <w:rsid w:val="00482F26"/>
    <w:rsid w:val="004842ED"/>
    <w:rsid w:val="0048467A"/>
    <w:rsid w:val="00490F0E"/>
    <w:rsid w:val="004A214B"/>
    <w:rsid w:val="004A5892"/>
    <w:rsid w:val="004B00AD"/>
    <w:rsid w:val="004B55B1"/>
    <w:rsid w:val="004B5EBD"/>
    <w:rsid w:val="004B7324"/>
    <w:rsid w:val="004C054D"/>
    <w:rsid w:val="004C2767"/>
    <w:rsid w:val="004C287C"/>
    <w:rsid w:val="004D090D"/>
    <w:rsid w:val="004D2B2D"/>
    <w:rsid w:val="004D2E31"/>
    <w:rsid w:val="004D3C35"/>
    <w:rsid w:val="004E622E"/>
    <w:rsid w:val="004F586E"/>
    <w:rsid w:val="004F5C9A"/>
    <w:rsid w:val="004F7EC5"/>
    <w:rsid w:val="00500C71"/>
    <w:rsid w:val="005041B4"/>
    <w:rsid w:val="00504EF5"/>
    <w:rsid w:val="005058E8"/>
    <w:rsid w:val="00514B37"/>
    <w:rsid w:val="005151F9"/>
    <w:rsid w:val="00516000"/>
    <w:rsid w:val="00520BC6"/>
    <w:rsid w:val="00521145"/>
    <w:rsid w:val="0052133C"/>
    <w:rsid w:val="00525D91"/>
    <w:rsid w:val="0052650B"/>
    <w:rsid w:val="005329D4"/>
    <w:rsid w:val="00535265"/>
    <w:rsid w:val="00537A54"/>
    <w:rsid w:val="00537AB1"/>
    <w:rsid w:val="00537F90"/>
    <w:rsid w:val="00541BC0"/>
    <w:rsid w:val="00542186"/>
    <w:rsid w:val="0054315C"/>
    <w:rsid w:val="00544CF5"/>
    <w:rsid w:val="00544EF2"/>
    <w:rsid w:val="005502A0"/>
    <w:rsid w:val="005542CA"/>
    <w:rsid w:val="00561C6B"/>
    <w:rsid w:val="00564E2E"/>
    <w:rsid w:val="00567156"/>
    <w:rsid w:val="0057053D"/>
    <w:rsid w:val="00572A9C"/>
    <w:rsid w:val="005761E5"/>
    <w:rsid w:val="005778F1"/>
    <w:rsid w:val="005806D9"/>
    <w:rsid w:val="005815E7"/>
    <w:rsid w:val="00584702"/>
    <w:rsid w:val="005849E8"/>
    <w:rsid w:val="00585C3E"/>
    <w:rsid w:val="00591143"/>
    <w:rsid w:val="00591D1A"/>
    <w:rsid w:val="00591D79"/>
    <w:rsid w:val="00594937"/>
    <w:rsid w:val="0059498F"/>
    <w:rsid w:val="00596BF8"/>
    <w:rsid w:val="00596FEF"/>
    <w:rsid w:val="00597645"/>
    <w:rsid w:val="00597D12"/>
    <w:rsid w:val="005A2526"/>
    <w:rsid w:val="005A2F79"/>
    <w:rsid w:val="005A6F0D"/>
    <w:rsid w:val="005A7973"/>
    <w:rsid w:val="005B07C9"/>
    <w:rsid w:val="005B3F41"/>
    <w:rsid w:val="005B52B3"/>
    <w:rsid w:val="005B6661"/>
    <w:rsid w:val="005C0CCA"/>
    <w:rsid w:val="005C1279"/>
    <w:rsid w:val="005C2A25"/>
    <w:rsid w:val="005C581A"/>
    <w:rsid w:val="005D08C4"/>
    <w:rsid w:val="005D705C"/>
    <w:rsid w:val="005E00A6"/>
    <w:rsid w:val="005E1C73"/>
    <w:rsid w:val="005E363D"/>
    <w:rsid w:val="005F171E"/>
    <w:rsid w:val="005F4575"/>
    <w:rsid w:val="005F4DC3"/>
    <w:rsid w:val="005F598F"/>
    <w:rsid w:val="00601B18"/>
    <w:rsid w:val="00605177"/>
    <w:rsid w:val="006052BD"/>
    <w:rsid w:val="00605D33"/>
    <w:rsid w:val="006108F6"/>
    <w:rsid w:val="0061434C"/>
    <w:rsid w:val="00620B15"/>
    <w:rsid w:val="006231FD"/>
    <w:rsid w:val="00625314"/>
    <w:rsid w:val="006269DF"/>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04CB"/>
    <w:rsid w:val="00681298"/>
    <w:rsid w:val="00686992"/>
    <w:rsid w:val="00686BDB"/>
    <w:rsid w:val="00686C96"/>
    <w:rsid w:val="00690717"/>
    <w:rsid w:val="0069165B"/>
    <w:rsid w:val="00696FAB"/>
    <w:rsid w:val="006A1465"/>
    <w:rsid w:val="006A3F1B"/>
    <w:rsid w:val="006A4690"/>
    <w:rsid w:val="006A603E"/>
    <w:rsid w:val="006B07E4"/>
    <w:rsid w:val="006B375A"/>
    <w:rsid w:val="006B579F"/>
    <w:rsid w:val="006B61D0"/>
    <w:rsid w:val="006B6AED"/>
    <w:rsid w:val="006C3EF4"/>
    <w:rsid w:val="006C5638"/>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077BB"/>
    <w:rsid w:val="00710E2C"/>
    <w:rsid w:val="007130FF"/>
    <w:rsid w:val="0071492E"/>
    <w:rsid w:val="0071555D"/>
    <w:rsid w:val="007169E1"/>
    <w:rsid w:val="00731EC9"/>
    <w:rsid w:val="0074060D"/>
    <w:rsid w:val="00743B96"/>
    <w:rsid w:val="00743F3C"/>
    <w:rsid w:val="007475C7"/>
    <w:rsid w:val="00747633"/>
    <w:rsid w:val="007535F8"/>
    <w:rsid w:val="0075504B"/>
    <w:rsid w:val="007561BA"/>
    <w:rsid w:val="0075682B"/>
    <w:rsid w:val="00757ADE"/>
    <w:rsid w:val="00761D29"/>
    <w:rsid w:val="00771929"/>
    <w:rsid w:val="00771F63"/>
    <w:rsid w:val="00772C3A"/>
    <w:rsid w:val="00773259"/>
    <w:rsid w:val="0077426C"/>
    <w:rsid w:val="00776769"/>
    <w:rsid w:val="00780103"/>
    <w:rsid w:val="00783185"/>
    <w:rsid w:val="00793B8D"/>
    <w:rsid w:val="00796253"/>
    <w:rsid w:val="00796430"/>
    <w:rsid w:val="007A1A52"/>
    <w:rsid w:val="007A22C9"/>
    <w:rsid w:val="007A452B"/>
    <w:rsid w:val="007C444E"/>
    <w:rsid w:val="007C4EA9"/>
    <w:rsid w:val="007C636C"/>
    <w:rsid w:val="007D15DA"/>
    <w:rsid w:val="007D4908"/>
    <w:rsid w:val="007E4D16"/>
    <w:rsid w:val="007F5021"/>
    <w:rsid w:val="008005D9"/>
    <w:rsid w:val="008007ED"/>
    <w:rsid w:val="0080227D"/>
    <w:rsid w:val="008071FD"/>
    <w:rsid w:val="00811C57"/>
    <w:rsid w:val="00813513"/>
    <w:rsid w:val="008149A9"/>
    <w:rsid w:val="008152BB"/>
    <w:rsid w:val="00815971"/>
    <w:rsid w:val="00816C15"/>
    <w:rsid w:val="00817C14"/>
    <w:rsid w:val="00825649"/>
    <w:rsid w:val="00826A5D"/>
    <w:rsid w:val="008311E2"/>
    <w:rsid w:val="0083413F"/>
    <w:rsid w:val="00836530"/>
    <w:rsid w:val="00840783"/>
    <w:rsid w:val="0084418E"/>
    <w:rsid w:val="0084707B"/>
    <w:rsid w:val="00847A4F"/>
    <w:rsid w:val="0085068E"/>
    <w:rsid w:val="00854F47"/>
    <w:rsid w:val="00855C2D"/>
    <w:rsid w:val="008572C6"/>
    <w:rsid w:val="00873BCF"/>
    <w:rsid w:val="008744D8"/>
    <w:rsid w:val="00892419"/>
    <w:rsid w:val="00897634"/>
    <w:rsid w:val="00897EF4"/>
    <w:rsid w:val="008A1E08"/>
    <w:rsid w:val="008B1839"/>
    <w:rsid w:val="008B6266"/>
    <w:rsid w:val="008B7A37"/>
    <w:rsid w:val="008C0A72"/>
    <w:rsid w:val="008C5DE2"/>
    <w:rsid w:val="008C7FA4"/>
    <w:rsid w:val="008D0A18"/>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AEB"/>
    <w:rsid w:val="00905DEE"/>
    <w:rsid w:val="00906207"/>
    <w:rsid w:val="009100DE"/>
    <w:rsid w:val="0091454B"/>
    <w:rsid w:val="009221C9"/>
    <w:rsid w:val="00923DB4"/>
    <w:rsid w:val="00931CBF"/>
    <w:rsid w:val="00933F6B"/>
    <w:rsid w:val="00937583"/>
    <w:rsid w:val="00937803"/>
    <w:rsid w:val="00944176"/>
    <w:rsid w:val="00950926"/>
    <w:rsid w:val="009537A4"/>
    <w:rsid w:val="009565B3"/>
    <w:rsid w:val="00961BC7"/>
    <w:rsid w:val="00961F4F"/>
    <w:rsid w:val="009621F0"/>
    <w:rsid w:val="0096398D"/>
    <w:rsid w:val="00964C3F"/>
    <w:rsid w:val="0096521F"/>
    <w:rsid w:val="00965ACE"/>
    <w:rsid w:val="009662E8"/>
    <w:rsid w:val="00967F3C"/>
    <w:rsid w:val="00971074"/>
    <w:rsid w:val="009712AE"/>
    <w:rsid w:val="00973F65"/>
    <w:rsid w:val="009748AA"/>
    <w:rsid w:val="00980EC6"/>
    <w:rsid w:val="00983595"/>
    <w:rsid w:val="00984CE0"/>
    <w:rsid w:val="00985F07"/>
    <w:rsid w:val="009905A5"/>
    <w:rsid w:val="0099075B"/>
    <w:rsid w:val="009947F9"/>
    <w:rsid w:val="00994926"/>
    <w:rsid w:val="00997B77"/>
    <w:rsid w:val="009A2D0F"/>
    <w:rsid w:val="009A3C76"/>
    <w:rsid w:val="009A4DF2"/>
    <w:rsid w:val="009A4ED7"/>
    <w:rsid w:val="009A4F12"/>
    <w:rsid w:val="009B0023"/>
    <w:rsid w:val="009B196A"/>
    <w:rsid w:val="009B439B"/>
    <w:rsid w:val="009C23D2"/>
    <w:rsid w:val="009C300E"/>
    <w:rsid w:val="009C4087"/>
    <w:rsid w:val="009C4111"/>
    <w:rsid w:val="009C4489"/>
    <w:rsid w:val="009C4712"/>
    <w:rsid w:val="009C7D96"/>
    <w:rsid w:val="009D1DFB"/>
    <w:rsid w:val="009D2465"/>
    <w:rsid w:val="009E2C98"/>
    <w:rsid w:val="009E685F"/>
    <w:rsid w:val="009E78ED"/>
    <w:rsid w:val="009F1221"/>
    <w:rsid w:val="009F19DA"/>
    <w:rsid w:val="009F3498"/>
    <w:rsid w:val="009F5825"/>
    <w:rsid w:val="00A00B2D"/>
    <w:rsid w:val="00A0182A"/>
    <w:rsid w:val="00A03E9F"/>
    <w:rsid w:val="00A0461F"/>
    <w:rsid w:val="00A05936"/>
    <w:rsid w:val="00A05E4F"/>
    <w:rsid w:val="00A1343E"/>
    <w:rsid w:val="00A1396B"/>
    <w:rsid w:val="00A140C5"/>
    <w:rsid w:val="00A1685A"/>
    <w:rsid w:val="00A17535"/>
    <w:rsid w:val="00A24FB3"/>
    <w:rsid w:val="00A2634C"/>
    <w:rsid w:val="00A31679"/>
    <w:rsid w:val="00A3421F"/>
    <w:rsid w:val="00A35463"/>
    <w:rsid w:val="00A35E3B"/>
    <w:rsid w:val="00A419F2"/>
    <w:rsid w:val="00A41D0C"/>
    <w:rsid w:val="00A43577"/>
    <w:rsid w:val="00A43DB4"/>
    <w:rsid w:val="00A455FC"/>
    <w:rsid w:val="00A45D1E"/>
    <w:rsid w:val="00A53336"/>
    <w:rsid w:val="00A5388F"/>
    <w:rsid w:val="00A55B27"/>
    <w:rsid w:val="00A56586"/>
    <w:rsid w:val="00A62ED6"/>
    <w:rsid w:val="00A66AA6"/>
    <w:rsid w:val="00A674C7"/>
    <w:rsid w:val="00A7246E"/>
    <w:rsid w:val="00A74C5E"/>
    <w:rsid w:val="00A770A9"/>
    <w:rsid w:val="00A81D35"/>
    <w:rsid w:val="00A8595B"/>
    <w:rsid w:val="00A87562"/>
    <w:rsid w:val="00A90ECF"/>
    <w:rsid w:val="00A9224A"/>
    <w:rsid w:val="00A97590"/>
    <w:rsid w:val="00AA37C7"/>
    <w:rsid w:val="00AA4652"/>
    <w:rsid w:val="00AA6332"/>
    <w:rsid w:val="00AA6DF6"/>
    <w:rsid w:val="00AB04D0"/>
    <w:rsid w:val="00AB22C4"/>
    <w:rsid w:val="00AB2455"/>
    <w:rsid w:val="00AB66DB"/>
    <w:rsid w:val="00AB7707"/>
    <w:rsid w:val="00AC2882"/>
    <w:rsid w:val="00AD24D6"/>
    <w:rsid w:val="00AD59C8"/>
    <w:rsid w:val="00AD6E09"/>
    <w:rsid w:val="00AE1C77"/>
    <w:rsid w:val="00AE47D1"/>
    <w:rsid w:val="00AE4DFE"/>
    <w:rsid w:val="00AE75F1"/>
    <w:rsid w:val="00AF07AA"/>
    <w:rsid w:val="00AF1A1D"/>
    <w:rsid w:val="00AF1E77"/>
    <w:rsid w:val="00AF5675"/>
    <w:rsid w:val="00AF5B86"/>
    <w:rsid w:val="00AF72C3"/>
    <w:rsid w:val="00AF78E3"/>
    <w:rsid w:val="00AF7CF9"/>
    <w:rsid w:val="00B025D1"/>
    <w:rsid w:val="00B066FF"/>
    <w:rsid w:val="00B06A00"/>
    <w:rsid w:val="00B1262D"/>
    <w:rsid w:val="00B165F8"/>
    <w:rsid w:val="00B16E56"/>
    <w:rsid w:val="00B21122"/>
    <w:rsid w:val="00B2205B"/>
    <w:rsid w:val="00B2219A"/>
    <w:rsid w:val="00B23FA3"/>
    <w:rsid w:val="00B25A95"/>
    <w:rsid w:val="00B2755E"/>
    <w:rsid w:val="00B33B53"/>
    <w:rsid w:val="00B33E96"/>
    <w:rsid w:val="00B35991"/>
    <w:rsid w:val="00B36A9E"/>
    <w:rsid w:val="00B418FD"/>
    <w:rsid w:val="00B42D68"/>
    <w:rsid w:val="00B4433E"/>
    <w:rsid w:val="00B45D6A"/>
    <w:rsid w:val="00B477C3"/>
    <w:rsid w:val="00B5723D"/>
    <w:rsid w:val="00B60332"/>
    <w:rsid w:val="00B63833"/>
    <w:rsid w:val="00B63F74"/>
    <w:rsid w:val="00B66814"/>
    <w:rsid w:val="00B70F6F"/>
    <w:rsid w:val="00B71949"/>
    <w:rsid w:val="00B72DCE"/>
    <w:rsid w:val="00B73863"/>
    <w:rsid w:val="00B74EFB"/>
    <w:rsid w:val="00B75345"/>
    <w:rsid w:val="00B76C77"/>
    <w:rsid w:val="00B77552"/>
    <w:rsid w:val="00B77B10"/>
    <w:rsid w:val="00B77BE7"/>
    <w:rsid w:val="00B83A6E"/>
    <w:rsid w:val="00B90B9F"/>
    <w:rsid w:val="00B9472F"/>
    <w:rsid w:val="00BA4138"/>
    <w:rsid w:val="00BA5711"/>
    <w:rsid w:val="00BB09CD"/>
    <w:rsid w:val="00BB195F"/>
    <w:rsid w:val="00BB26C7"/>
    <w:rsid w:val="00BC1595"/>
    <w:rsid w:val="00BC2E45"/>
    <w:rsid w:val="00BC4633"/>
    <w:rsid w:val="00BD0586"/>
    <w:rsid w:val="00BD165E"/>
    <w:rsid w:val="00BD47FB"/>
    <w:rsid w:val="00BD63A8"/>
    <w:rsid w:val="00BE3714"/>
    <w:rsid w:val="00BE5BC0"/>
    <w:rsid w:val="00BF029B"/>
    <w:rsid w:val="00BF0B50"/>
    <w:rsid w:val="00BF1AA1"/>
    <w:rsid w:val="00BF3FEB"/>
    <w:rsid w:val="00BF7375"/>
    <w:rsid w:val="00C0021C"/>
    <w:rsid w:val="00C03412"/>
    <w:rsid w:val="00C05D31"/>
    <w:rsid w:val="00C06FD3"/>
    <w:rsid w:val="00C12E54"/>
    <w:rsid w:val="00C13DC0"/>
    <w:rsid w:val="00C15237"/>
    <w:rsid w:val="00C1580B"/>
    <w:rsid w:val="00C2013E"/>
    <w:rsid w:val="00C20BBD"/>
    <w:rsid w:val="00C22771"/>
    <w:rsid w:val="00C27699"/>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4D25"/>
    <w:rsid w:val="00C653D9"/>
    <w:rsid w:val="00C653F3"/>
    <w:rsid w:val="00C668DE"/>
    <w:rsid w:val="00C73928"/>
    <w:rsid w:val="00C75853"/>
    <w:rsid w:val="00C8450F"/>
    <w:rsid w:val="00C93428"/>
    <w:rsid w:val="00C949AC"/>
    <w:rsid w:val="00C959C5"/>
    <w:rsid w:val="00CA1D5D"/>
    <w:rsid w:val="00CA2B0E"/>
    <w:rsid w:val="00CA2FA5"/>
    <w:rsid w:val="00CA396F"/>
    <w:rsid w:val="00CB484B"/>
    <w:rsid w:val="00CB6408"/>
    <w:rsid w:val="00CB701E"/>
    <w:rsid w:val="00CC0238"/>
    <w:rsid w:val="00CC12B3"/>
    <w:rsid w:val="00CC40D6"/>
    <w:rsid w:val="00CC72C3"/>
    <w:rsid w:val="00CC76B1"/>
    <w:rsid w:val="00CD0DAA"/>
    <w:rsid w:val="00CD2BE0"/>
    <w:rsid w:val="00CD428A"/>
    <w:rsid w:val="00CD51D2"/>
    <w:rsid w:val="00CE00F1"/>
    <w:rsid w:val="00CE2A32"/>
    <w:rsid w:val="00CE3A31"/>
    <w:rsid w:val="00CE4015"/>
    <w:rsid w:val="00CE775B"/>
    <w:rsid w:val="00D01C77"/>
    <w:rsid w:val="00D058B6"/>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718D"/>
    <w:rsid w:val="00D70847"/>
    <w:rsid w:val="00D80563"/>
    <w:rsid w:val="00D87F8C"/>
    <w:rsid w:val="00D90FDE"/>
    <w:rsid w:val="00D91C33"/>
    <w:rsid w:val="00D94BAD"/>
    <w:rsid w:val="00D95B0C"/>
    <w:rsid w:val="00D972D4"/>
    <w:rsid w:val="00DA244A"/>
    <w:rsid w:val="00DA3232"/>
    <w:rsid w:val="00DA4508"/>
    <w:rsid w:val="00DB3482"/>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61F4"/>
    <w:rsid w:val="00E20584"/>
    <w:rsid w:val="00E212E1"/>
    <w:rsid w:val="00E25AE6"/>
    <w:rsid w:val="00E2611F"/>
    <w:rsid w:val="00E318D2"/>
    <w:rsid w:val="00E360E8"/>
    <w:rsid w:val="00E36AF0"/>
    <w:rsid w:val="00E36CF1"/>
    <w:rsid w:val="00E41800"/>
    <w:rsid w:val="00E419DF"/>
    <w:rsid w:val="00E41DD0"/>
    <w:rsid w:val="00E43F00"/>
    <w:rsid w:val="00E44E56"/>
    <w:rsid w:val="00E45BBB"/>
    <w:rsid w:val="00E52305"/>
    <w:rsid w:val="00E61402"/>
    <w:rsid w:val="00E637AA"/>
    <w:rsid w:val="00E70C44"/>
    <w:rsid w:val="00E73861"/>
    <w:rsid w:val="00E74AA2"/>
    <w:rsid w:val="00E829EC"/>
    <w:rsid w:val="00E84B7C"/>
    <w:rsid w:val="00E8647D"/>
    <w:rsid w:val="00E9271F"/>
    <w:rsid w:val="00E9311E"/>
    <w:rsid w:val="00E934A1"/>
    <w:rsid w:val="00E97555"/>
    <w:rsid w:val="00EA030D"/>
    <w:rsid w:val="00EA0B65"/>
    <w:rsid w:val="00EA1CC2"/>
    <w:rsid w:val="00EA2513"/>
    <w:rsid w:val="00EA4C92"/>
    <w:rsid w:val="00EB2571"/>
    <w:rsid w:val="00EB2D7C"/>
    <w:rsid w:val="00EB34F9"/>
    <w:rsid w:val="00EB5065"/>
    <w:rsid w:val="00EC5E10"/>
    <w:rsid w:val="00ED33CC"/>
    <w:rsid w:val="00EE7805"/>
    <w:rsid w:val="00EF0BB5"/>
    <w:rsid w:val="00EF4F62"/>
    <w:rsid w:val="00F02E70"/>
    <w:rsid w:val="00F072CF"/>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74FA"/>
    <w:rsid w:val="00F80202"/>
    <w:rsid w:val="00F82076"/>
    <w:rsid w:val="00F85D64"/>
    <w:rsid w:val="00F90547"/>
    <w:rsid w:val="00F913CD"/>
    <w:rsid w:val="00F955B3"/>
    <w:rsid w:val="00F95EB1"/>
    <w:rsid w:val="00FA4289"/>
    <w:rsid w:val="00FA753F"/>
    <w:rsid w:val="00FB1B38"/>
    <w:rsid w:val="00FD45F7"/>
    <w:rsid w:val="00FD6202"/>
    <w:rsid w:val="00FD63CD"/>
    <w:rsid w:val="00FD7141"/>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3479078B"/>
  <w15:docId w15:val="{B76F1A46-D668-4622-B5F6-6E10BF8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3421F"/>
    <w:pPr>
      <w:spacing w:before="120" w:after="120" w:line="280" w:lineRule="exact"/>
    </w:pPr>
    <w:rPr>
      <w:rFonts w:ascii="Arial" w:hAnsi="Arial"/>
      <w:sz w:val="20"/>
    </w:rPr>
  </w:style>
  <w:style w:type="character" w:customStyle="1" w:styleId="BodyTextChar">
    <w:name w:val="Body Text Char"/>
    <w:link w:val="BodyText"/>
    <w:rsid w:val="00A3421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customStyle="1" w:styleId="bumpedfont20">
    <w:name w:val="bumpedfont20"/>
    <w:rsid w:val="00DB3482"/>
  </w:style>
  <w:style w:type="character" w:styleId="CommentReference">
    <w:name w:val="annotation reference"/>
    <w:basedOn w:val="DefaultParagraphFont"/>
    <w:semiHidden/>
    <w:unhideWhenUsed/>
    <w:rsid w:val="00E41800"/>
    <w:rPr>
      <w:sz w:val="16"/>
      <w:szCs w:val="16"/>
    </w:rPr>
  </w:style>
  <w:style w:type="paragraph" w:styleId="CommentText">
    <w:name w:val="annotation text"/>
    <w:basedOn w:val="Normal"/>
    <w:link w:val="CommentTextChar"/>
    <w:semiHidden/>
    <w:unhideWhenUsed/>
    <w:rsid w:val="00E41800"/>
    <w:rPr>
      <w:sz w:val="20"/>
      <w:szCs w:val="20"/>
    </w:rPr>
  </w:style>
  <w:style w:type="character" w:customStyle="1" w:styleId="CommentTextChar">
    <w:name w:val="Comment Text Char"/>
    <w:basedOn w:val="DefaultParagraphFont"/>
    <w:link w:val="CommentText"/>
    <w:semiHidden/>
    <w:rsid w:val="00E41800"/>
  </w:style>
  <w:style w:type="paragraph" w:styleId="CommentSubject">
    <w:name w:val="annotation subject"/>
    <w:basedOn w:val="CommentText"/>
    <w:next w:val="CommentText"/>
    <w:link w:val="CommentSubjectChar"/>
    <w:semiHidden/>
    <w:unhideWhenUsed/>
    <w:rsid w:val="00E41800"/>
    <w:rPr>
      <w:b/>
      <w:bCs/>
    </w:rPr>
  </w:style>
  <w:style w:type="character" w:customStyle="1" w:styleId="CommentSubjectChar">
    <w:name w:val="Comment Subject Char"/>
    <w:basedOn w:val="CommentTextChar"/>
    <w:link w:val="CommentSubject"/>
    <w:semiHidden/>
    <w:rsid w:val="00E41800"/>
    <w:rPr>
      <w:b/>
      <w:bCs/>
    </w:rPr>
  </w:style>
  <w:style w:type="paragraph" w:styleId="NormalWeb">
    <w:name w:val="Normal (Web)"/>
    <w:basedOn w:val="Normal"/>
    <w:uiPriority w:val="99"/>
    <w:semiHidden/>
    <w:unhideWhenUsed/>
    <w:rsid w:val="0028421A"/>
    <w:pPr>
      <w:spacing w:before="100" w:beforeAutospacing="1" w:after="100" w:afterAutospacing="1"/>
    </w:pPr>
  </w:style>
  <w:style w:type="character" w:styleId="UnresolvedMention">
    <w:name w:val="Unresolved Mention"/>
    <w:basedOn w:val="DefaultParagraphFont"/>
    <w:uiPriority w:val="99"/>
    <w:semiHidden/>
    <w:unhideWhenUsed/>
    <w:rsid w:val="00C93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4777">
      <w:bodyDiv w:val="1"/>
      <w:marLeft w:val="0"/>
      <w:marRight w:val="0"/>
      <w:marTop w:val="0"/>
      <w:marBottom w:val="0"/>
      <w:divBdr>
        <w:top w:val="none" w:sz="0" w:space="0" w:color="auto"/>
        <w:left w:val="none" w:sz="0" w:space="0" w:color="auto"/>
        <w:bottom w:val="none" w:sz="0" w:space="0" w:color="auto"/>
        <w:right w:val="none" w:sz="0" w:space="0" w:color="auto"/>
      </w:divBdr>
    </w:div>
    <w:div w:id="525556146">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7250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0.wmf"/><Relationship Id="rId13" Type="http://schemas.openxmlformats.org/officeDocument/2006/relationships/hyperlink" Target="https://www.victorianccc.org.au/" TargetMode="External"/><Relationship Id="rId18" Type="http://schemas.openxmlformats.org/officeDocument/2006/relationships/hyperlink" Target="http://about.unimelb.edu.au/strategy-and-leadershi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4.wmf"/><Relationship Id="rId12" Type="http://schemas.openxmlformats.org/officeDocument/2006/relationships/hyperlink" Target="https://research.unimelb.edu.au/centre-for-cancer-research/about/about-us" TargetMode="External"/><Relationship Id="rId17" Type="http://schemas.openxmlformats.org/officeDocument/2006/relationships/hyperlink" Target="https://www.viccompcancerctr.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bout.unimelb.edu.au/careers" TargetMode="External"/><Relationship Id="rId20" Type="http://schemas.openxmlformats.org/officeDocument/2006/relationships/hyperlink" Target="http://www.unimelb.edu.au/govern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ty.unimelb.edu.au/topics/responsibiliti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dhs.unimelb.edu.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athana.dushyanthen@unimelb.edu.au" TargetMode="External"/><Relationship Id="rId19" Type="http://schemas.openxmlformats.org/officeDocument/2006/relationships/hyperlink" Target="http://research.unimelb.edu.au/our-research/research-at-melbourne" TargetMode="External"/><Relationship Id="rId4" Type="http://schemas.openxmlformats.org/officeDocument/2006/relationships/webSettings" Target="webSettings.xml"/><Relationship Id="rId9" Type="http://schemas.openxmlformats.org/officeDocument/2006/relationships/hyperlink" Target="http://about.unimelb.edu.au/careers/working/benefits" TargetMode="External"/><Relationship Id="rId14" Type="http://schemas.openxmlformats.org/officeDocument/2006/relationships/hyperlink" Target="http://www.melbournebiomed.com/"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14073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16172</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Lee Byrne</cp:lastModifiedBy>
  <cp:revision>2</cp:revision>
  <cp:lastPrinted>2017-01-31T04:29:00Z</cp:lastPrinted>
  <dcterms:created xsi:type="dcterms:W3CDTF">2019-03-07T06:27:00Z</dcterms:created>
  <dcterms:modified xsi:type="dcterms:W3CDTF">2019-03-07T06:27:00Z</dcterms:modified>
</cp:coreProperties>
</file>