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F7D2" w14:textId="77777777" w:rsidR="00E30ADF" w:rsidRDefault="00E30ADF" w:rsidP="00E30ADF">
      <w:pPr>
        <w:pStyle w:val="Title"/>
        <w:spacing w:before="240"/>
        <w:rPr>
          <w:sz w:val="40"/>
          <w:szCs w:val="40"/>
          <w:lang w:val="en-AU"/>
        </w:rPr>
      </w:pPr>
      <w:bookmarkStart w:id="0" w:name="_GoBack"/>
      <w:bookmarkEnd w:id="0"/>
      <w:r>
        <w:rPr>
          <w:noProof/>
          <w:sz w:val="40"/>
          <w:szCs w:val="40"/>
          <w:lang w:val="en-AU"/>
        </w:rPr>
        <w:drawing>
          <wp:inline distT="0" distB="0" distL="0" distR="0" wp14:anchorId="0577F758" wp14:editId="66589A8C">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406B713C" w14:textId="77777777" w:rsidR="00001A0D" w:rsidRDefault="00001A0D" w:rsidP="00001A0D">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5BB41632" w14:textId="6AF4AE51" w:rsidR="00E30ADF" w:rsidRPr="00305216" w:rsidRDefault="00305216" w:rsidP="00E30ADF">
      <w:pPr>
        <w:pStyle w:val="Title"/>
        <w:rPr>
          <w:sz w:val="52"/>
          <w:szCs w:val="52"/>
          <w:lang w:val="en-US"/>
        </w:rPr>
      </w:pPr>
      <w:r>
        <w:rPr>
          <w:sz w:val="52"/>
          <w:szCs w:val="52"/>
          <w:lang w:val="en-US"/>
        </w:rPr>
        <w:t>Management of Investigational Product</w:t>
      </w:r>
    </w:p>
    <w:p w14:paraId="2590ECBE" w14:textId="77777777" w:rsidR="00001A0D" w:rsidRPr="00DF18F5" w:rsidRDefault="00001A0D" w:rsidP="00001A0D">
      <w:pPr>
        <w:rPr>
          <w:sz w:val="52"/>
          <w:szCs w:val="52"/>
          <w:lang w:val="en-US" w:eastAsia="x-none"/>
        </w:rPr>
      </w:pPr>
    </w:p>
    <w:p w14:paraId="1DCEF90B" w14:textId="57E19253" w:rsidR="00E30ADF" w:rsidRPr="00001A0D" w:rsidRDefault="00001A0D" w:rsidP="00E30ADF">
      <w:pPr>
        <w:jc w:val="center"/>
        <w:rPr>
          <w:b/>
          <w:sz w:val="52"/>
          <w:szCs w:val="52"/>
          <w:lang w:eastAsia="x-none"/>
        </w:rPr>
      </w:pPr>
      <w:r w:rsidRPr="00001A0D">
        <w:rPr>
          <w:rFonts w:asciiTheme="minorHAnsi" w:hAnsiTheme="minorHAnsi"/>
          <w:b/>
          <w:bCs/>
          <w:kern w:val="28"/>
          <w:sz w:val="52"/>
          <w:szCs w:val="52"/>
          <w:lang w:eastAsia="x-none"/>
        </w:rPr>
        <w:t xml:space="preserve">SOP Number: </w:t>
      </w:r>
      <w:r w:rsidR="00E30ADF" w:rsidRPr="00001A0D">
        <w:rPr>
          <w:rFonts w:asciiTheme="minorHAnsi" w:hAnsiTheme="minorHAnsi"/>
          <w:b/>
          <w:bCs/>
          <w:kern w:val="28"/>
          <w:sz w:val="52"/>
          <w:szCs w:val="52"/>
          <w:lang w:eastAsia="x-none"/>
        </w:rPr>
        <w:t>TT-</w:t>
      </w:r>
      <w:r w:rsidR="00E30ADF" w:rsidRPr="00001A0D">
        <w:rPr>
          <w:b/>
          <w:sz w:val="52"/>
          <w:szCs w:val="52"/>
          <w:lang w:eastAsia="x-none"/>
        </w:rPr>
        <w:t>SOP-</w:t>
      </w:r>
      <w:r w:rsidR="00305216">
        <w:rPr>
          <w:b/>
          <w:sz w:val="52"/>
          <w:szCs w:val="52"/>
          <w:lang w:eastAsia="x-none"/>
        </w:rPr>
        <w:t>13</w:t>
      </w:r>
    </w:p>
    <w:p w14:paraId="2834CDB9" w14:textId="77777777" w:rsidR="00E30ADF" w:rsidRPr="00B979A9" w:rsidRDefault="00E30ADF" w:rsidP="00E30ADF">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E30ADF" w14:paraId="1943A9F0"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0CC50AED" w14:textId="77777777" w:rsidR="00E30ADF" w:rsidRDefault="00E30ADF"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7E40DBF8" w14:textId="15C27C27" w:rsidR="00E30ADF" w:rsidRPr="007D676C" w:rsidRDefault="00E30ADF"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w:t>
            </w:r>
            <w:r w:rsidR="00305216">
              <w:rPr>
                <w:b w:val="0"/>
                <w:lang w:eastAsia="x-none"/>
              </w:rPr>
              <w:t>13</w:t>
            </w:r>
          </w:p>
        </w:tc>
      </w:tr>
      <w:tr w:rsidR="00E30ADF" w14:paraId="3F57D44D"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3DB24F1" w14:textId="77777777" w:rsidR="00E30ADF" w:rsidRDefault="00E30ADF" w:rsidP="009E1C7E">
            <w:pPr>
              <w:rPr>
                <w:lang w:eastAsia="x-none"/>
              </w:rPr>
            </w:pPr>
            <w:r>
              <w:rPr>
                <w:lang w:eastAsia="x-none"/>
              </w:rPr>
              <w:t>Version Number:</w:t>
            </w:r>
          </w:p>
        </w:tc>
        <w:tc>
          <w:tcPr>
            <w:tcW w:w="7789" w:type="dxa"/>
          </w:tcPr>
          <w:p w14:paraId="192519B4" w14:textId="77777777" w:rsidR="00E30ADF" w:rsidRDefault="00E30ADF"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1.0</w:t>
            </w:r>
          </w:p>
        </w:tc>
      </w:tr>
      <w:tr w:rsidR="00E30ADF" w14:paraId="7FA886D0"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27785382" w14:textId="77777777" w:rsidR="00E30ADF" w:rsidRDefault="00E30ADF" w:rsidP="009E1C7E">
            <w:pPr>
              <w:rPr>
                <w:lang w:eastAsia="x-none"/>
              </w:rPr>
            </w:pPr>
            <w:r>
              <w:rPr>
                <w:lang w:eastAsia="x-none"/>
              </w:rPr>
              <w:t>Effective date:</w:t>
            </w:r>
          </w:p>
        </w:tc>
        <w:tc>
          <w:tcPr>
            <w:tcW w:w="7789" w:type="dxa"/>
          </w:tcPr>
          <w:p w14:paraId="4E286B48" w14:textId="7AA3E9A5" w:rsidR="00E30ADF" w:rsidRDefault="0089138F" w:rsidP="009E1C7E">
            <w:pPr>
              <w:cnfStyle w:val="000000000000" w:firstRow="0" w:lastRow="0" w:firstColumn="0" w:lastColumn="0" w:oddVBand="0" w:evenVBand="0" w:oddHBand="0" w:evenHBand="0" w:firstRowFirstColumn="0" w:firstRowLastColumn="0" w:lastRowFirstColumn="0" w:lastRowLastColumn="0"/>
              <w:rPr>
                <w:lang w:eastAsia="x-none"/>
              </w:rPr>
            </w:pPr>
            <w:commentRangeStart w:id="2"/>
            <w:r>
              <w:rPr>
                <w:lang w:eastAsia="x-none"/>
              </w:rPr>
              <w:t>XX</w:t>
            </w:r>
            <w:commentRangeEnd w:id="2"/>
            <w:r>
              <w:rPr>
                <w:rStyle w:val="CommentReference"/>
                <w:lang w:eastAsia="en-US"/>
              </w:rPr>
              <w:commentReference w:id="2"/>
            </w:r>
            <w:r w:rsidR="00305216">
              <w:rPr>
                <w:lang w:eastAsia="x-none"/>
              </w:rPr>
              <w:t xml:space="preserve"> September 2019</w:t>
            </w:r>
          </w:p>
        </w:tc>
      </w:tr>
      <w:tr w:rsidR="00E30ADF" w14:paraId="0F32DCDF"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48DBB6" w14:textId="77777777" w:rsidR="00E30ADF" w:rsidRDefault="00E30ADF" w:rsidP="009E1C7E">
            <w:pPr>
              <w:rPr>
                <w:lang w:eastAsia="x-none"/>
              </w:rPr>
            </w:pPr>
            <w:r>
              <w:rPr>
                <w:lang w:eastAsia="x-none"/>
              </w:rPr>
              <w:t>Review date:</w:t>
            </w:r>
          </w:p>
        </w:tc>
        <w:tc>
          <w:tcPr>
            <w:tcW w:w="7789" w:type="dxa"/>
          </w:tcPr>
          <w:p w14:paraId="2921C297" w14:textId="6E66BAC0" w:rsidR="00E30ADF" w:rsidRDefault="0089138F"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XX</w:t>
            </w:r>
            <w:r w:rsidR="00001A0D">
              <w:rPr>
                <w:lang w:eastAsia="x-none"/>
              </w:rPr>
              <w:t xml:space="preserve"> </w:t>
            </w:r>
            <w:r w:rsidR="00305216">
              <w:rPr>
                <w:lang w:eastAsia="x-none"/>
              </w:rPr>
              <w:t>September</w:t>
            </w:r>
            <w:r w:rsidR="00001A0D">
              <w:rPr>
                <w:lang w:eastAsia="x-none"/>
              </w:rPr>
              <w:t xml:space="preserve"> 202</w:t>
            </w:r>
            <w:r w:rsidR="0042198D">
              <w:rPr>
                <w:lang w:eastAsia="x-none"/>
              </w:rPr>
              <w:t>2</w:t>
            </w:r>
          </w:p>
        </w:tc>
      </w:tr>
      <w:tr w:rsidR="00E30ADF" w14:paraId="6CD62AD3"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2D500B77" w14:textId="77777777" w:rsidR="00E30ADF" w:rsidRDefault="00E30ADF" w:rsidP="009E1C7E">
            <w:pPr>
              <w:rPr>
                <w:lang w:eastAsia="x-none"/>
              </w:rPr>
            </w:pPr>
            <w:r>
              <w:rPr>
                <w:lang w:eastAsia="x-none"/>
              </w:rPr>
              <w:t>Author(s):</w:t>
            </w:r>
          </w:p>
        </w:tc>
        <w:tc>
          <w:tcPr>
            <w:tcW w:w="7789" w:type="dxa"/>
          </w:tcPr>
          <w:p w14:paraId="72D48D66" w14:textId="7B0B0F52" w:rsidR="00E30ADF" w:rsidRDefault="0030521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Alana Donaldson</w:t>
            </w:r>
          </w:p>
          <w:p w14:paraId="5F417298" w14:textId="77777777" w:rsidR="00E30ADF" w:rsidRDefault="00E30AD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E30ADF" w14:paraId="76C6C0AE"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F35D949" w14:textId="77777777" w:rsidR="00E30ADF" w:rsidRDefault="00E30ADF" w:rsidP="009E1C7E">
            <w:pPr>
              <w:rPr>
                <w:lang w:eastAsia="x-none"/>
              </w:rPr>
            </w:pPr>
            <w:r>
              <w:rPr>
                <w:lang w:eastAsia="x-none"/>
              </w:rPr>
              <w:t>Approved by:</w:t>
            </w:r>
          </w:p>
        </w:tc>
        <w:tc>
          <w:tcPr>
            <w:tcW w:w="7789" w:type="dxa"/>
          </w:tcPr>
          <w:p w14:paraId="7FDDB070" w14:textId="15326629" w:rsidR="00E30ADF" w:rsidRDefault="00001A0D"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41DAC720" w14:textId="77777777" w:rsidR="00E30ADF" w:rsidRDefault="00E30ADF" w:rsidP="00E30ADF">
      <w:pPr>
        <w:rPr>
          <w:lang w:eastAsia="x-none"/>
        </w:rPr>
      </w:pPr>
    </w:p>
    <w:p w14:paraId="0115F078" w14:textId="77777777" w:rsidR="00E30ADF" w:rsidRPr="00CF2075" w:rsidRDefault="00E30ADF" w:rsidP="00E30ADF">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41B6D6E7" w14:textId="77777777" w:rsidR="00E30ADF" w:rsidRDefault="00E30ADF" w:rsidP="00E30ADF">
      <w:pPr>
        <w:spacing w:before="0" w:after="0"/>
        <w:rPr>
          <w:lang w:eastAsia="x-none"/>
        </w:rPr>
      </w:pPr>
      <w:r>
        <w:rPr>
          <w:lang w:eastAsia="x-none"/>
        </w:rPr>
        <w:br w:type="page"/>
      </w:r>
    </w:p>
    <w:p w14:paraId="1E5F3550" w14:textId="77777777" w:rsidR="00E30ADF" w:rsidRDefault="00E30ADF" w:rsidP="00E30ADF">
      <w:pPr>
        <w:rPr>
          <w:b/>
          <w:sz w:val="28"/>
          <w:szCs w:val="28"/>
          <w:lang w:eastAsia="x-none"/>
        </w:rPr>
      </w:pPr>
    </w:p>
    <w:p w14:paraId="458CF163" w14:textId="77777777" w:rsidR="00E30ADF" w:rsidRPr="00DB4611" w:rsidRDefault="00E30ADF" w:rsidP="00E30ADF">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30ADF" w14:paraId="673863F3"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4B154D10" w14:textId="77777777" w:rsidR="00E30ADF" w:rsidRDefault="00E30ADF" w:rsidP="009E1C7E">
            <w:pPr>
              <w:rPr>
                <w:lang w:eastAsia="x-none"/>
              </w:rPr>
            </w:pPr>
            <w:r>
              <w:rPr>
                <w:lang w:eastAsia="x-none"/>
              </w:rPr>
              <w:t>Version</w:t>
            </w:r>
          </w:p>
        </w:tc>
        <w:tc>
          <w:tcPr>
            <w:tcW w:w="2463" w:type="dxa"/>
            <w:tcBorders>
              <w:top w:val="none" w:sz="0" w:space="0" w:color="auto"/>
              <w:left w:val="none" w:sz="0" w:space="0" w:color="auto"/>
              <w:bottom w:val="none" w:sz="0" w:space="0" w:color="auto"/>
              <w:right w:val="none" w:sz="0" w:space="0" w:color="auto"/>
            </w:tcBorders>
          </w:tcPr>
          <w:p w14:paraId="0B3A4073" w14:textId="77777777" w:rsidR="00E30ADF" w:rsidRDefault="00E30A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464" w:type="dxa"/>
            <w:tcBorders>
              <w:top w:val="none" w:sz="0" w:space="0" w:color="auto"/>
              <w:left w:val="none" w:sz="0" w:space="0" w:color="auto"/>
              <w:bottom w:val="none" w:sz="0" w:space="0" w:color="auto"/>
              <w:right w:val="none" w:sz="0" w:space="0" w:color="auto"/>
            </w:tcBorders>
          </w:tcPr>
          <w:p w14:paraId="54C722E4" w14:textId="446EB715" w:rsidR="00E30ADF" w:rsidRDefault="00E30A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BF1D7D">
              <w:rPr>
                <w:lang w:eastAsia="x-none"/>
              </w:rPr>
              <w:t>mended By</w:t>
            </w:r>
          </w:p>
        </w:tc>
        <w:tc>
          <w:tcPr>
            <w:tcW w:w="2464" w:type="dxa"/>
            <w:tcBorders>
              <w:top w:val="none" w:sz="0" w:space="0" w:color="auto"/>
              <w:left w:val="none" w:sz="0" w:space="0" w:color="auto"/>
              <w:bottom w:val="none" w:sz="0" w:space="0" w:color="auto"/>
            </w:tcBorders>
          </w:tcPr>
          <w:p w14:paraId="7692579F" w14:textId="77777777" w:rsidR="00E30ADF" w:rsidRDefault="00E30A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E30ADF" w14:paraId="4ACE7C35"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795F3E69" w14:textId="0E54DAD8" w:rsidR="00E30ADF" w:rsidRPr="007D676C" w:rsidRDefault="00E30ADF" w:rsidP="009E1C7E">
            <w:pPr>
              <w:rPr>
                <w:b w:val="0"/>
                <w:lang w:eastAsia="x-none"/>
              </w:rPr>
            </w:pPr>
          </w:p>
        </w:tc>
        <w:tc>
          <w:tcPr>
            <w:tcW w:w="2463" w:type="dxa"/>
          </w:tcPr>
          <w:p w14:paraId="55EA39E1" w14:textId="209C75D4" w:rsidR="00E30ADF" w:rsidRPr="007D676C" w:rsidRDefault="00E30ADF"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15BB50C5" w14:textId="1F5BD238" w:rsidR="00E30ADF" w:rsidRPr="007D676C" w:rsidRDefault="00E30ADF"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4E165BD9" w14:textId="6FB17CC4" w:rsidR="00E30ADF" w:rsidRPr="007D676C" w:rsidRDefault="00E30ADF" w:rsidP="009E1C7E">
            <w:pPr>
              <w:cnfStyle w:val="000000100000" w:firstRow="0" w:lastRow="0" w:firstColumn="0" w:lastColumn="0" w:oddVBand="0" w:evenVBand="0" w:oddHBand="1" w:evenHBand="0" w:firstRowFirstColumn="0" w:firstRowLastColumn="0" w:lastRowFirstColumn="0" w:lastRowLastColumn="0"/>
              <w:rPr>
                <w:lang w:eastAsia="x-none"/>
              </w:rPr>
            </w:pPr>
          </w:p>
        </w:tc>
      </w:tr>
    </w:tbl>
    <w:p w14:paraId="6E7FD811" w14:textId="77777777" w:rsidR="00E30ADF" w:rsidRDefault="00E30ADF" w:rsidP="00E30ADF">
      <w:pPr>
        <w:rPr>
          <w:rFonts w:cs="Calibri"/>
          <w:szCs w:val="22"/>
        </w:rPr>
      </w:pPr>
    </w:p>
    <w:p w14:paraId="3990E3B6" w14:textId="77777777" w:rsidR="00E30ADF" w:rsidRDefault="00E30ADF" w:rsidP="00E30ADF">
      <w:pPr>
        <w:rPr>
          <w:rFonts w:cs="Calibri"/>
          <w:szCs w:val="22"/>
        </w:rPr>
      </w:pPr>
    </w:p>
    <w:p w14:paraId="067C8760" w14:textId="77777777" w:rsidR="00E30ADF" w:rsidRDefault="00E30ADF" w:rsidP="00E30ADF">
      <w:pPr>
        <w:rPr>
          <w:rFonts w:cs="Calibri"/>
          <w:szCs w:val="22"/>
        </w:rPr>
      </w:pPr>
    </w:p>
    <w:p w14:paraId="72622193" w14:textId="77777777" w:rsidR="00E30ADF" w:rsidRDefault="00E30ADF" w:rsidP="00E30ADF">
      <w:pPr>
        <w:rPr>
          <w:rFonts w:cs="Calibri"/>
          <w:szCs w:val="22"/>
        </w:rPr>
      </w:pPr>
    </w:p>
    <w:p w14:paraId="39AEEAFB" w14:textId="77777777" w:rsidR="00E30ADF" w:rsidRPr="00CF2075" w:rsidRDefault="00E30ADF" w:rsidP="00E30ADF">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06796C4A" w14:textId="77777777" w:rsidR="00E30ADF" w:rsidRDefault="00E30ADF" w:rsidP="00E30ADF">
      <w:pPr>
        <w:jc w:val="center"/>
        <w:rPr>
          <w:rFonts w:cs="Calibri"/>
          <w:sz w:val="24"/>
        </w:rPr>
      </w:pPr>
    </w:p>
    <w:p w14:paraId="7B3C02D5" w14:textId="77777777" w:rsidR="00E30ADF" w:rsidRDefault="00E30ADF" w:rsidP="00E30ADF">
      <w:pPr>
        <w:jc w:val="center"/>
        <w:rPr>
          <w:rFonts w:cs="Calibri"/>
          <w:sz w:val="24"/>
        </w:rPr>
      </w:pPr>
    </w:p>
    <w:p w14:paraId="4845AF2C" w14:textId="77777777" w:rsidR="00E30ADF" w:rsidRDefault="00E30ADF" w:rsidP="00E30ADF">
      <w:pPr>
        <w:jc w:val="center"/>
        <w:rPr>
          <w:rFonts w:cs="Calibri"/>
          <w:sz w:val="24"/>
        </w:rPr>
      </w:pPr>
    </w:p>
    <w:p w14:paraId="345E0653" w14:textId="77777777" w:rsidR="00E30ADF" w:rsidRDefault="00E30ADF" w:rsidP="00E30ADF">
      <w:pPr>
        <w:jc w:val="center"/>
        <w:rPr>
          <w:rFonts w:cs="Calibri"/>
          <w:sz w:val="24"/>
        </w:rPr>
      </w:pPr>
    </w:p>
    <w:p w14:paraId="162561BE" w14:textId="77777777" w:rsidR="00E30ADF" w:rsidRDefault="00E30ADF" w:rsidP="00E30ADF">
      <w:pPr>
        <w:jc w:val="center"/>
        <w:rPr>
          <w:rFonts w:cs="Calibri"/>
          <w:sz w:val="24"/>
        </w:rPr>
      </w:pPr>
    </w:p>
    <w:p w14:paraId="3323635B" w14:textId="77777777" w:rsidR="00E30ADF" w:rsidRPr="00DB4611" w:rsidRDefault="00E30ADF" w:rsidP="00E30ADF">
      <w:pPr>
        <w:jc w:val="center"/>
        <w:rPr>
          <w:rFonts w:cs="Calibri"/>
          <w:sz w:val="24"/>
        </w:rPr>
      </w:pPr>
    </w:p>
    <w:p w14:paraId="6FA76FC6" w14:textId="77777777" w:rsidR="00E30ADF" w:rsidRPr="00DB101E" w:rsidRDefault="00E30ADF" w:rsidP="00E30ADF">
      <w:pPr>
        <w:jc w:val="center"/>
        <w:rPr>
          <w:rFonts w:cs="Calibri"/>
          <w:b/>
          <w:sz w:val="48"/>
          <w:szCs w:val="48"/>
        </w:rPr>
      </w:pPr>
      <w:r>
        <w:rPr>
          <w:rFonts w:asciiTheme="minorHAnsi" w:hAnsiTheme="minorHAnsi"/>
          <w:b/>
          <w:noProof/>
          <w:sz w:val="32"/>
          <w:szCs w:val="32"/>
        </w:rPr>
        <w:drawing>
          <wp:anchor distT="0" distB="0" distL="114300" distR="114300" simplePos="0" relativeHeight="251659264" behindDoc="0" locked="0" layoutInCell="1" allowOverlap="1" wp14:anchorId="702DD3CF" wp14:editId="29239C12">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334F8FDC" w14:textId="77777777" w:rsidR="00B12D9A" w:rsidRPr="00B12D9A" w:rsidRDefault="00B12D9A" w:rsidP="00B12D9A">
      <w:pPr>
        <w:rPr>
          <w:lang w:val="x-none" w:eastAsia="x-none"/>
        </w:rPr>
      </w:pPr>
    </w:p>
    <w:p w14:paraId="70EF9318" w14:textId="528D6B6F" w:rsidR="00A2584D" w:rsidRDefault="001D5377" w:rsidP="001D5377">
      <w:pPr>
        <w:pStyle w:val="H4BulletPointTitle"/>
        <w:rPr>
          <w:lang w:val="en-AU"/>
        </w:rPr>
      </w:pPr>
      <w:r>
        <w:rPr>
          <w:lang w:val="en-AU"/>
        </w:rPr>
        <w:lastRenderedPageBreak/>
        <w:t>Introduction</w:t>
      </w:r>
      <w:r w:rsidR="00FC7713">
        <w:rPr>
          <w:lang w:val="en-AU"/>
        </w:rPr>
        <w:t xml:space="preserve"> and Background</w:t>
      </w:r>
    </w:p>
    <w:p w14:paraId="6B9E4D13" w14:textId="04204771" w:rsidR="00F20B83" w:rsidRDefault="001E6770" w:rsidP="00DA1B08">
      <w:pPr>
        <w:rPr>
          <w:lang w:eastAsia="x-none"/>
        </w:rPr>
      </w:pPr>
      <w:r>
        <w:rPr>
          <w:lang w:eastAsia="x-none"/>
        </w:rPr>
        <w:t>Good clinical practice requires investigational product accountability at the trial site. It also requires that the investigational product(s) are used only in accordance with the approved study protocol.</w:t>
      </w:r>
    </w:p>
    <w:p w14:paraId="181E4ABC" w14:textId="036FCAFE" w:rsidR="00F20B83" w:rsidRPr="008948F7" w:rsidRDefault="008948F7" w:rsidP="00DA1B08">
      <w:pPr>
        <w:rPr>
          <w:lang w:eastAsia="x-none"/>
        </w:rPr>
      </w:pPr>
      <w:r>
        <w:rPr>
          <w:lang w:eastAsia="x-none"/>
        </w:rPr>
        <w:t>Correct management of investigational product is vital to ensure that the product is accounted for and stored and distributed correctly for clinical trials.</w:t>
      </w:r>
    </w:p>
    <w:p w14:paraId="3968C747" w14:textId="77777777" w:rsidR="001D5377" w:rsidRDefault="001D5377" w:rsidP="001D5377">
      <w:pPr>
        <w:pStyle w:val="H4BulletPointTitle"/>
        <w:rPr>
          <w:lang w:val="en-AU"/>
        </w:rPr>
      </w:pPr>
      <w:r>
        <w:rPr>
          <w:lang w:val="en-AU"/>
        </w:rPr>
        <w:t>Objective</w:t>
      </w:r>
    </w:p>
    <w:p w14:paraId="5A2250B3" w14:textId="49D1B0FA" w:rsidR="00F5323F" w:rsidRDefault="00670FAD" w:rsidP="00FC7713">
      <w:pPr>
        <w:rPr>
          <w:lang w:eastAsia="x-none"/>
        </w:rPr>
      </w:pPr>
      <w:r w:rsidRPr="00670FAD">
        <w:rPr>
          <w:lang w:eastAsia="x-none"/>
        </w:rPr>
        <w:t>To describe the procedure</w:t>
      </w:r>
      <w:r w:rsidR="008C2297">
        <w:rPr>
          <w:lang w:eastAsia="x-none"/>
        </w:rPr>
        <w:t xml:space="preserve"> for the</w:t>
      </w:r>
      <w:r w:rsidRPr="00670FAD">
        <w:rPr>
          <w:lang w:eastAsia="x-none"/>
        </w:rPr>
        <w:t xml:space="preserve"> </w:t>
      </w:r>
      <w:r w:rsidR="00F5323F">
        <w:rPr>
          <w:lang w:eastAsia="x-none"/>
        </w:rPr>
        <w:t>management of all aspects of Investigational Product, either medicinal product or device. Management includes but is not limited to the receipt, storage, accountability, preparation and administration, shipment and destruction of investigational product.</w:t>
      </w:r>
    </w:p>
    <w:p w14:paraId="28034C98" w14:textId="062AFD78" w:rsidR="00F5323F" w:rsidRDefault="00AD02A3" w:rsidP="00FC7713">
      <w:pPr>
        <w:rPr>
          <w:lang w:eastAsia="x-none"/>
        </w:rPr>
      </w:pPr>
      <w:r>
        <w:rPr>
          <w:lang w:eastAsia="x-none"/>
        </w:rPr>
        <w:t>NB: relabelling of investigational product is not covered here as will follow the institutions pharmacy procedures for relabelling.</w:t>
      </w:r>
    </w:p>
    <w:p w14:paraId="55AA2930" w14:textId="77777777" w:rsidR="001D5377" w:rsidRDefault="001D5377" w:rsidP="001D5377">
      <w:pPr>
        <w:pStyle w:val="H4BulletPointTitle"/>
        <w:rPr>
          <w:lang w:val="en-AU"/>
        </w:rPr>
      </w:pPr>
      <w:r>
        <w:rPr>
          <w:lang w:val="en-AU"/>
        </w:rPr>
        <w:t>Scope</w:t>
      </w:r>
    </w:p>
    <w:p w14:paraId="7BFAF764" w14:textId="72B9E843" w:rsidR="00DA1B08" w:rsidRPr="00AD02A3" w:rsidRDefault="00AD02A3" w:rsidP="00DA1B08">
      <w:pPr>
        <w:rPr>
          <w:lang w:eastAsia="x-none"/>
        </w:rPr>
      </w:pPr>
      <w:r w:rsidRPr="00AD02A3">
        <w:rPr>
          <w:lang w:eastAsia="x-none"/>
        </w:rPr>
        <w:t xml:space="preserve">This SOP applies </w:t>
      </w:r>
      <w:r w:rsidR="00C13549" w:rsidRPr="00AD02A3">
        <w:rPr>
          <w:lang w:eastAsia="x-none"/>
        </w:rPr>
        <w:t xml:space="preserve">to all members of the study team involved in the handling and shipping of </w:t>
      </w:r>
      <w:r w:rsidRPr="00AD02A3">
        <w:rPr>
          <w:lang w:eastAsia="x-none"/>
        </w:rPr>
        <w:t>investigational product</w:t>
      </w:r>
      <w:r w:rsidR="00FE701E" w:rsidRPr="00AD02A3">
        <w:rPr>
          <w:lang w:eastAsia="x-none"/>
        </w:rPr>
        <w:t>, including all the satellite site study team</w:t>
      </w:r>
      <w:r w:rsidR="00C13549" w:rsidRPr="00AD02A3">
        <w:rPr>
          <w:lang w:eastAsia="x-none"/>
        </w:rPr>
        <w:t>.</w:t>
      </w:r>
      <w:r w:rsidRPr="00AD02A3">
        <w:rPr>
          <w:lang w:eastAsia="x-none"/>
        </w:rPr>
        <w:t xml:space="preserve"> All study personnel involved in the clinical study must operate within their scope of practice.</w:t>
      </w:r>
    </w:p>
    <w:p w14:paraId="65F1B92D" w14:textId="77777777" w:rsidR="001D5377" w:rsidRDefault="001D5377" w:rsidP="001D5377">
      <w:pPr>
        <w:pStyle w:val="H4BulletPointTitle"/>
        <w:rPr>
          <w:lang w:val="en-AU"/>
        </w:rPr>
      </w:pPr>
      <w:r>
        <w:rPr>
          <w:lang w:val="en-AU"/>
        </w:rPr>
        <w:t>Ownership and Responsibility</w:t>
      </w:r>
    </w:p>
    <w:p w14:paraId="13BE4F25" w14:textId="0A58A393" w:rsidR="00CC5740" w:rsidRPr="000E2E0E" w:rsidRDefault="00DA1B08" w:rsidP="001C18BD">
      <w:pPr>
        <w:rPr>
          <w:lang w:eastAsia="x-none"/>
        </w:rPr>
      </w:pPr>
      <w:r w:rsidRPr="000E2E0E">
        <w:rPr>
          <w:lang w:eastAsia="x-none"/>
        </w:rPr>
        <w:t xml:space="preserve">The principal investigator is responsible for ensuring study team members are appropriately trained and delegated </w:t>
      </w:r>
      <w:r w:rsidR="00C13549" w:rsidRPr="000E2E0E">
        <w:rPr>
          <w:lang w:eastAsia="x-none"/>
        </w:rPr>
        <w:t>to</w:t>
      </w:r>
      <w:r w:rsidR="00170694" w:rsidRPr="000E2E0E">
        <w:rPr>
          <w:lang w:eastAsia="x-none"/>
        </w:rPr>
        <w:t xml:space="preserve"> the management of</w:t>
      </w:r>
      <w:r w:rsidR="00C13549" w:rsidRPr="000E2E0E">
        <w:rPr>
          <w:lang w:eastAsia="x-none"/>
        </w:rPr>
        <w:t xml:space="preserve"> </w:t>
      </w:r>
      <w:r w:rsidR="00AD02A3" w:rsidRPr="000E2E0E">
        <w:rPr>
          <w:lang w:eastAsia="x-none"/>
        </w:rPr>
        <w:t>investigational product</w:t>
      </w:r>
      <w:r w:rsidR="00C13549" w:rsidRPr="000E2E0E">
        <w:rPr>
          <w:lang w:eastAsia="x-none"/>
        </w:rPr>
        <w:t xml:space="preserve"> as outlined in </w:t>
      </w:r>
      <w:r w:rsidR="00463E0A" w:rsidRPr="000E2E0E">
        <w:rPr>
          <w:lang w:eastAsia="x-none"/>
        </w:rPr>
        <w:t xml:space="preserve">(SITE) </w:t>
      </w:r>
      <w:r w:rsidR="00475ACD" w:rsidRPr="000E2E0E">
        <w:rPr>
          <w:lang w:eastAsia="x-none"/>
        </w:rPr>
        <w:t>TT</w:t>
      </w:r>
      <w:r w:rsidR="00C13549" w:rsidRPr="000E2E0E">
        <w:rPr>
          <w:lang w:eastAsia="x-none"/>
        </w:rPr>
        <w:t>-SOP-03</w:t>
      </w:r>
      <w:r w:rsidR="001C18BD" w:rsidRPr="000E2E0E">
        <w:rPr>
          <w:lang w:eastAsia="x-none"/>
        </w:rPr>
        <w:t xml:space="preserve"> Clinical Trial Training</w:t>
      </w:r>
      <w:r w:rsidR="00C13549" w:rsidRPr="000E2E0E">
        <w:rPr>
          <w:lang w:eastAsia="x-none"/>
        </w:rPr>
        <w:t xml:space="preserve"> and </w:t>
      </w:r>
      <w:r w:rsidR="00463E0A" w:rsidRPr="000E2E0E">
        <w:rPr>
          <w:lang w:eastAsia="x-none"/>
        </w:rPr>
        <w:t xml:space="preserve">(SITE) </w:t>
      </w:r>
      <w:r w:rsidR="00475ACD" w:rsidRPr="000E2E0E">
        <w:rPr>
          <w:lang w:eastAsia="x-none"/>
        </w:rPr>
        <w:t>TT-</w:t>
      </w:r>
      <w:r w:rsidR="00C13549" w:rsidRPr="000E2E0E">
        <w:rPr>
          <w:lang w:eastAsia="x-none"/>
        </w:rPr>
        <w:t>SOP-04</w:t>
      </w:r>
      <w:r w:rsidR="001C18BD" w:rsidRPr="000E2E0E">
        <w:rPr>
          <w:lang w:eastAsia="x-none"/>
        </w:rPr>
        <w:t xml:space="preserve"> Delegation of Duties</w:t>
      </w:r>
      <w:r w:rsidR="00C13549" w:rsidRPr="000E2E0E">
        <w:rPr>
          <w:lang w:eastAsia="x-none"/>
        </w:rPr>
        <w:t xml:space="preserve"> (see Related </w:t>
      </w:r>
      <w:r w:rsidR="008E05E5" w:rsidRPr="000E2E0E">
        <w:rPr>
          <w:lang w:eastAsia="x-none"/>
        </w:rPr>
        <w:t>Documents</w:t>
      </w:r>
      <w:r w:rsidR="00C13549" w:rsidRPr="000E2E0E">
        <w:rPr>
          <w:lang w:eastAsia="x-none"/>
        </w:rPr>
        <w:t xml:space="preserve">). </w:t>
      </w:r>
    </w:p>
    <w:p w14:paraId="65A5081E" w14:textId="6D74F0D6" w:rsidR="00DA1B08" w:rsidRPr="00A87DE4" w:rsidRDefault="008E05E5" w:rsidP="001C18BD">
      <w:pPr>
        <w:rPr>
          <w:lang w:eastAsia="x-none"/>
        </w:rPr>
      </w:pPr>
      <w:r w:rsidRPr="00A87DE4">
        <w:rPr>
          <w:lang w:eastAsia="x-none"/>
        </w:rPr>
        <w:t>The s</w:t>
      </w:r>
      <w:r w:rsidR="00170C8C" w:rsidRPr="00A87DE4">
        <w:rPr>
          <w:lang w:eastAsia="x-none"/>
        </w:rPr>
        <w:t xml:space="preserve">tudy team members delegated to </w:t>
      </w:r>
      <w:r w:rsidR="000B3B5F" w:rsidRPr="00A87DE4">
        <w:rPr>
          <w:lang w:eastAsia="x-none"/>
        </w:rPr>
        <w:t>the management of</w:t>
      </w:r>
      <w:r w:rsidRPr="00A87DE4">
        <w:rPr>
          <w:lang w:eastAsia="x-none"/>
        </w:rPr>
        <w:t xml:space="preserve"> </w:t>
      </w:r>
      <w:r w:rsidR="00AD02A3" w:rsidRPr="00A87DE4">
        <w:rPr>
          <w:lang w:eastAsia="x-none"/>
        </w:rPr>
        <w:t>investigational product</w:t>
      </w:r>
      <w:r w:rsidRPr="00A87DE4">
        <w:rPr>
          <w:lang w:eastAsia="x-none"/>
        </w:rPr>
        <w:t xml:space="preserve"> (</w:t>
      </w:r>
      <w:r w:rsidR="00463E0A" w:rsidRPr="00A87DE4">
        <w:rPr>
          <w:lang w:eastAsia="x-none"/>
        </w:rPr>
        <w:t>SITE</w:t>
      </w:r>
      <w:r w:rsidRPr="00A87DE4">
        <w:rPr>
          <w:lang w:eastAsia="x-none"/>
        </w:rPr>
        <w:t xml:space="preserve"> team member or </w:t>
      </w:r>
      <w:r w:rsidR="00AD02A3" w:rsidRPr="00A87DE4">
        <w:rPr>
          <w:lang w:eastAsia="x-none"/>
        </w:rPr>
        <w:t>pharmacy</w:t>
      </w:r>
      <w:r w:rsidRPr="00A87DE4">
        <w:rPr>
          <w:lang w:eastAsia="x-none"/>
        </w:rPr>
        <w:t xml:space="preserve"> staff) are required to complete</w:t>
      </w:r>
      <w:r w:rsidR="00A87DE4">
        <w:rPr>
          <w:lang w:eastAsia="x-none"/>
        </w:rPr>
        <w:t xml:space="preserve"> TransCelerate </w:t>
      </w:r>
      <w:r w:rsidR="00AF1F83">
        <w:rPr>
          <w:lang w:eastAsia="x-none"/>
        </w:rPr>
        <w:t>recognised</w:t>
      </w:r>
      <w:r w:rsidR="00A87DE4">
        <w:rPr>
          <w:lang w:eastAsia="x-none"/>
        </w:rPr>
        <w:t xml:space="preserve"> ICH-GCP training</w:t>
      </w:r>
      <w:r w:rsidRPr="00A87DE4">
        <w:rPr>
          <w:lang w:eastAsia="x-none"/>
        </w:rPr>
        <w:t xml:space="preserve"> </w:t>
      </w:r>
      <w:r w:rsidR="00BF3F8A">
        <w:rPr>
          <w:lang w:eastAsia="x-none"/>
        </w:rPr>
        <w:t>and any additional pharmacy training as required.</w:t>
      </w:r>
    </w:p>
    <w:p w14:paraId="07355F9D" w14:textId="77777777" w:rsidR="001D5377" w:rsidRDefault="004A188D" w:rsidP="001D5377">
      <w:pPr>
        <w:pStyle w:val="H4BulletPointTitle"/>
        <w:rPr>
          <w:lang w:val="en-AU"/>
        </w:rPr>
      </w:pPr>
      <w:r>
        <w:rPr>
          <w:lang w:val="en-AU"/>
        </w:rPr>
        <w:t>Glossary of Terms</w:t>
      </w:r>
    </w:p>
    <w:p w14:paraId="25A1AF0D" w14:textId="06BD5405" w:rsidR="004A188D" w:rsidRPr="00AD02A3" w:rsidRDefault="004A188D" w:rsidP="004A188D">
      <w:pPr>
        <w:rPr>
          <w:lang w:eastAsia="x-none"/>
        </w:rPr>
      </w:pPr>
      <w:r w:rsidRPr="00AD02A3">
        <w:rPr>
          <w:lang w:eastAsia="x-none"/>
        </w:rPr>
        <w:t xml:space="preserve">Please refer to </w:t>
      </w:r>
      <w:r w:rsidR="00463E0A" w:rsidRPr="00AD02A3">
        <w:rPr>
          <w:highlight w:val="yellow"/>
          <w:lang w:eastAsia="x-none"/>
        </w:rPr>
        <w:t>(SITE)</w:t>
      </w:r>
      <w:r w:rsidR="00463E0A" w:rsidRPr="00AD02A3">
        <w:rPr>
          <w:lang w:eastAsia="x-none"/>
        </w:rPr>
        <w:t xml:space="preserve"> </w:t>
      </w:r>
      <w:r w:rsidR="00475ACD" w:rsidRPr="00AD02A3">
        <w:rPr>
          <w:lang w:eastAsia="x-none"/>
        </w:rPr>
        <w:t>TT</w:t>
      </w:r>
      <w:r w:rsidRPr="00AD02A3">
        <w:rPr>
          <w:lang w:eastAsia="x-none"/>
        </w:rPr>
        <w:t xml:space="preserve">-SOP-Glossary-of-Terms (see </w:t>
      </w:r>
      <w:r w:rsidR="005C0BA4" w:rsidRPr="00AD02A3">
        <w:rPr>
          <w:lang w:eastAsia="x-none"/>
        </w:rPr>
        <w:t>R</w:t>
      </w:r>
      <w:r w:rsidRPr="00AD02A3">
        <w:rPr>
          <w:lang w:eastAsia="x-none"/>
        </w:rPr>
        <w:t xml:space="preserve">elated </w:t>
      </w:r>
      <w:r w:rsidR="005C0BA4" w:rsidRPr="00AD02A3">
        <w:rPr>
          <w:lang w:eastAsia="x-none"/>
        </w:rPr>
        <w:t>D</w:t>
      </w:r>
      <w:r w:rsidRPr="00AD02A3">
        <w:rPr>
          <w:lang w:eastAsia="x-none"/>
        </w:rPr>
        <w:t>ocuments) for full supporting glossary of terms.</w:t>
      </w:r>
    </w:p>
    <w:p w14:paraId="46C55539" w14:textId="77777777" w:rsidR="001D5377" w:rsidRDefault="001D5377" w:rsidP="001D5377">
      <w:pPr>
        <w:pStyle w:val="H4BulletPointTitle"/>
        <w:rPr>
          <w:lang w:val="en-AU"/>
        </w:rPr>
      </w:pPr>
      <w:r>
        <w:rPr>
          <w:lang w:val="en-AU"/>
        </w:rPr>
        <w:t>Procedure</w:t>
      </w:r>
    </w:p>
    <w:p w14:paraId="7ABB1D4E" w14:textId="5B558864" w:rsidR="00C478BE" w:rsidRPr="001A1E87" w:rsidRDefault="00E614B5" w:rsidP="00C478BE">
      <w:pPr>
        <w:pStyle w:val="H5BulletPointTitle"/>
      </w:pPr>
      <w:r w:rsidRPr="00E614B5">
        <w:rPr>
          <w:lang w:val="en-US"/>
        </w:rPr>
        <w:t>Management of Investigational Product (Medicinal Product or Device)</w:t>
      </w:r>
    </w:p>
    <w:p w14:paraId="2485A4A2" w14:textId="755F18CB" w:rsidR="001A1E87" w:rsidRPr="00C478BE" w:rsidRDefault="003B2A12" w:rsidP="00C478BE">
      <w:pPr>
        <w:pStyle w:val="H5BulletPointTitle"/>
        <w:numPr>
          <w:ilvl w:val="0"/>
          <w:numId w:val="0"/>
        </w:numPr>
        <w:rPr>
          <w:b w:val="0"/>
          <w:u w:val="none"/>
          <w:lang w:val="en-AU"/>
        </w:rPr>
      </w:pPr>
      <w:r w:rsidRPr="003B2A12">
        <w:rPr>
          <w:b w:val="0"/>
          <w:u w:val="none"/>
          <w:lang w:val="en-AU"/>
        </w:rPr>
        <w:t>The responsibility for investigational product(s) accountability at the trial site(s) rests with the investigator, however an investigator may delegate responsibility for IP management to the site pharmacist.</w:t>
      </w:r>
      <w:r>
        <w:rPr>
          <w:b w:val="0"/>
          <w:u w:val="none"/>
          <w:lang w:val="en-AU"/>
        </w:rPr>
        <w:t xml:space="preserve"> </w:t>
      </w:r>
      <w:r w:rsidR="001A1E87" w:rsidRPr="00C478BE">
        <w:rPr>
          <w:b w:val="0"/>
          <w:u w:val="none"/>
          <w:lang w:val="en-AU"/>
        </w:rPr>
        <w:t>The investigator, pharmacist or appropriately qualified non-pharmacist must ensure:</w:t>
      </w:r>
    </w:p>
    <w:p w14:paraId="62AA2591" w14:textId="2EA86C64" w:rsidR="001A1E87" w:rsidRPr="00C478BE" w:rsidRDefault="001A1E87" w:rsidP="00C478BE">
      <w:pPr>
        <w:pStyle w:val="H5BulletPointTitle"/>
        <w:numPr>
          <w:ilvl w:val="0"/>
          <w:numId w:val="24"/>
        </w:numPr>
        <w:rPr>
          <w:b w:val="0"/>
          <w:u w:val="none"/>
          <w:lang w:val="en-AU"/>
        </w:rPr>
      </w:pPr>
      <w:r w:rsidRPr="00C478BE">
        <w:rPr>
          <w:b w:val="0"/>
          <w:u w:val="none"/>
          <w:lang w:val="en-AU"/>
        </w:rPr>
        <w:t>the investigational product is used only in accordance with the approved protocol</w:t>
      </w:r>
    </w:p>
    <w:p w14:paraId="5EB5DFC3" w14:textId="6D81ABFD" w:rsidR="001A1E87" w:rsidRPr="00C478BE" w:rsidRDefault="001A1E87" w:rsidP="00C478BE">
      <w:pPr>
        <w:pStyle w:val="H5BulletPointTitle"/>
        <w:numPr>
          <w:ilvl w:val="0"/>
          <w:numId w:val="24"/>
        </w:numPr>
        <w:rPr>
          <w:b w:val="0"/>
          <w:u w:val="none"/>
          <w:lang w:val="en-AU"/>
        </w:rPr>
      </w:pPr>
      <w:r w:rsidRPr="00C478BE">
        <w:rPr>
          <w:b w:val="0"/>
          <w:u w:val="none"/>
          <w:lang w:val="en-AU"/>
        </w:rPr>
        <w:lastRenderedPageBreak/>
        <w:t xml:space="preserve">the investigational product is received, stored, prepared, administered, shipped and destroyed as specified by the sponsor in accordance with the Protocol, pharmacy manual and applicable regulatory requirements. Consideration must be given to security of the investigational product with </w:t>
      </w:r>
      <w:r w:rsidR="00D40CD3" w:rsidRPr="00C478BE">
        <w:rPr>
          <w:b w:val="0"/>
          <w:u w:val="none"/>
          <w:lang w:val="en-AU"/>
        </w:rPr>
        <w:t>restricted access to approved personnel.</w:t>
      </w:r>
    </w:p>
    <w:p w14:paraId="0FC05F21" w14:textId="76941DA1" w:rsidR="00E542D6" w:rsidRPr="00E542D6" w:rsidRDefault="00E542D6" w:rsidP="00DA1B08">
      <w:pPr>
        <w:pStyle w:val="H5BulletPointTitle"/>
      </w:pPr>
      <w:r>
        <w:rPr>
          <w:lang w:val="en-US"/>
        </w:rPr>
        <w:t>Prescribing</w:t>
      </w:r>
    </w:p>
    <w:p w14:paraId="2B4190D1" w14:textId="1F7E93C6" w:rsidR="00E542D6" w:rsidRPr="00E542D6" w:rsidRDefault="00E542D6" w:rsidP="00E542D6">
      <w:pPr>
        <w:pStyle w:val="H5BulletPointTitle"/>
        <w:numPr>
          <w:ilvl w:val="0"/>
          <w:numId w:val="0"/>
        </w:numPr>
      </w:pPr>
      <w:r>
        <w:rPr>
          <w:b w:val="0"/>
          <w:u w:val="none"/>
          <w:lang w:val="en-US"/>
        </w:rPr>
        <w:t>All prescriptions for the use of investigational products for clinical studies are completed in accordance with standard hospital prescription procedures and the study protocol.</w:t>
      </w:r>
    </w:p>
    <w:p w14:paraId="4B6C5928" w14:textId="15555BFC" w:rsidR="00390F87" w:rsidRPr="000E2E0E" w:rsidRDefault="00390F87" w:rsidP="008568B2">
      <w:pPr>
        <w:pStyle w:val="H5BulletPointTitle"/>
      </w:pPr>
      <w:r>
        <w:rPr>
          <w:lang w:val="en-US"/>
        </w:rPr>
        <w:t xml:space="preserve">Receipt and </w:t>
      </w:r>
      <w:r w:rsidR="008568B2">
        <w:rPr>
          <w:lang w:val="en-US"/>
        </w:rPr>
        <w:t>s</w:t>
      </w:r>
      <w:r w:rsidRPr="008568B2">
        <w:rPr>
          <w:lang w:val="en-US"/>
        </w:rPr>
        <w:t>torage of investigational product</w:t>
      </w:r>
    </w:p>
    <w:p w14:paraId="3598E1C7" w14:textId="12CFA5A2" w:rsidR="00914394" w:rsidRDefault="00914394" w:rsidP="000E2E0E">
      <w:pPr>
        <w:pStyle w:val="H5BulletPointTitle"/>
        <w:numPr>
          <w:ilvl w:val="0"/>
          <w:numId w:val="0"/>
        </w:numPr>
        <w:rPr>
          <w:b w:val="0"/>
          <w:u w:val="none"/>
          <w:lang w:val="en-US"/>
        </w:rPr>
      </w:pPr>
      <w:r>
        <w:rPr>
          <w:b w:val="0"/>
          <w:u w:val="none"/>
          <w:lang w:val="en-US"/>
        </w:rPr>
        <w:t xml:space="preserve">Ensure that the investigational product is </w:t>
      </w:r>
      <w:r w:rsidR="006977B5">
        <w:rPr>
          <w:b w:val="0"/>
          <w:u w:val="none"/>
          <w:lang w:val="en-US"/>
        </w:rPr>
        <w:t xml:space="preserve">received from the sponsor and </w:t>
      </w:r>
      <w:r>
        <w:rPr>
          <w:b w:val="0"/>
          <w:u w:val="none"/>
          <w:lang w:val="en-US"/>
        </w:rPr>
        <w:t>stored respecting correct temperature control and provide maintenance and calibration records for storage equipment (e.g. refrigerators, thermometers) in accordance with sponsor requirements.</w:t>
      </w:r>
    </w:p>
    <w:p w14:paraId="4259594B" w14:textId="589E5C22" w:rsidR="00914394" w:rsidRPr="000E2E0E" w:rsidRDefault="00914394" w:rsidP="000E2E0E">
      <w:pPr>
        <w:pStyle w:val="H5BulletPointTitle"/>
        <w:numPr>
          <w:ilvl w:val="0"/>
          <w:numId w:val="0"/>
        </w:numPr>
        <w:rPr>
          <w:b w:val="0"/>
          <w:u w:val="none"/>
        </w:rPr>
      </w:pPr>
      <w:r>
        <w:rPr>
          <w:b w:val="0"/>
          <w:u w:val="none"/>
          <w:lang w:val="en-US"/>
        </w:rPr>
        <w:t>Ensure that any deviation to required temperature, storage conditions, potential defect/issue with investigational product is notified to sponsor in a timely manner and in accordance with the study protocol, following study site quarantine processes where applicable.</w:t>
      </w:r>
    </w:p>
    <w:p w14:paraId="5C055E61" w14:textId="3DB4BF3C" w:rsidR="00D40CD3" w:rsidRPr="00D40CD3" w:rsidRDefault="003B5F76" w:rsidP="00DA1B08">
      <w:pPr>
        <w:pStyle w:val="H5BulletPointTitle"/>
      </w:pPr>
      <w:r>
        <w:rPr>
          <w:lang w:val="en-US"/>
        </w:rPr>
        <w:t>Transportation</w:t>
      </w:r>
      <w:r w:rsidR="00D40CD3">
        <w:rPr>
          <w:lang w:val="en-US"/>
        </w:rPr>
        <w:t xml:space="preserve"> of investigational product</w:t>
      </w:r>
      <w:r w:rsidR="00F21696">
        <w:rPr>
          <w:lang w:val="en-US"/>
        </w:rPr>
        <w:t xml:space="preserve"> to a satellite site</w:t>
      </w:r>
    </w:p>
    <w:p w14:paraId="10D25D66" w14:textId="29B3375E" w:rsidR="00D40CD3" w:rsidRDefault="00D40CD3" w:rsidP="00D40CD3">
      <w:pPr>
        <w:pStyle w:val="H5BulletPointTitle"/>
        <w:numPr>
          <w:ilvl w:val="0"/>
          <w:numId w:val="0"/>
        </w:numPr>
        <w:rPr>
          <w:b w:val="0"/>
          <w:u w:val="none"/>
        </w:rPr>
      </w:pPr>
      <w:r>
        <w:rPr>
          <w:b w:val="0"/>
          <w:u w:val="none"/>
          <w:lang w:val="en-US"/>
        </w:rPr>
        <w:t>W</w:t>
      </w:r>
      <w:r w:rsidRPr="00D40CD3">
        <w:rPr>
          <w:b w:val="0"/>
          <w:u w:val="none"/>
        </w:rPr>
        <w:t xml:space="preserve">here the investigational product needs to be </w:t>
      </w:r>
      <w:r w:rsidR="003B5F76">
        <w:rPr>
          <w:b w:val="0"/>
          <w:u w:val="none"/>
          <w:lang w:val="en-US"/>
        </w:rPr>
        <w:t>transported</w:t>
      </w:r>
      <w:r w:rsidRPr="00D40CD3">
        <w:rPr>
          <w:b w:val="0"/>
          <w:u w:val="none"/>
        </w:rPr>
        <w:t xml:space="preserve"> to, or returned from, a satellite destination, the appropriate transfer method, respecting temperature control, is to be used according to the </w:t>
      </w:r>
      <w:r w:rsidR="00F21696">
        <w:rPr>
          <w:b w:val="0"/>
          <w:u w:val="none"/>
          <w:lang w:val="en-US"/>
        </w:rPr>
        <w:t xml:space="preserve">protocol and </w:t>
      </w:r>
      <w:r w:rsidRPr="00D40CD3">
        <w:rPr>
          <w:b w:val="0"/>
          <w:u w:val="none"/>
        </w:rPr>
        <w:t>sponsor’s guidelines. Correct documentation to accompany the shipment and filed accordingly.</w:t>
      </w:r>
    </w:p>
    <w:p w14:paraId="44A82219" w14:textId="5B71952F" w:rsidR="00EE25E9" w:rsidRDefault="00D40CD3" w:rsidP="00D40CD3">
      <w:pPr>
        <w:pStyle w:val="H5BulletPointTitle"/>
        <w:numPr>
          <w:ilvl w:val="0"/>
          <w:numId w:val="0"/>
        </w:numPr>
        <w:rPr>
          <w:b w:val="0"/>
          <w:u w:val="none"/>
          <w:lang w:val="en-US"/>
        </w:rPr>
      </w:pPr>
      <w:r>
        <w:rPr>
          <w:b w:val="0"/>
          <w:u w:val="none"/>
          <w:lang w:val="en-US"/>
        </w:rPr>
        <w:t xml:space="preserve">Investigational product will be shipped by </w:t>
      </w:r>
      <w:r w:rsidR="00EB2B11">
        <w:rPr>
          <w:b w:val="0"/>
          <w:u w:val="none"/>
          <w:lang w:val="en-US"/>
        </w:rPr>
        <w:t>courier</w:t>
      </w:r>
      <w:r>
        <w:rPr>
          <w:b w:val="0"/>
          <w:u w:val="none"/>
          <w:lang w:val="en-US"/>
        </w:rPr>
        <w:t xml:space="preserve"> using </w:t>
      </w:r>
      <w:r w:rsidR="00E63D8D">
        <w:rPr>
          <w:b w:val="0"/>
          <w:u w:val="none"/>
          <w:lang w:val="en-US"/>
        </w:rPr>
        <w:t>an approved shipping device</w:t>
      </w:r>
      <w:r w:rsidR="00F21696">
        <w:rPr>
          <w:b w:val="0"/>
          <w:u w:val="none"/>
          <w:lang w:val="en-US"/>
        </w:rPr>
        <w:t xml:space="preserve"> as determined by the protocol and/or instruction from the pharmacist</w:t>
      </w:r>
      <w:r>
        <w:rPr>
          <w:b w:val="0"/>
          <w:u w:val="none"/>
          <w:lang w:val="en-US"/>
        </w:rPr>
        <w:t>.</w:t>
      </w:r>
      <w:r w:rsidR="00EE25E9">
        <w:rPr>
          <w:b w:val="0"/>
          <w:u w:val="none"/>
          <w:lang w:val="en-US"/>
        </w:rPr>
        <w:t xml:space="preserve"> </w:t>
      </w:r>
      <w:r>
        <w:rPr>
          <w:b w:val="0"/>
          <w:u w:val="none"/>
          <w:lang w:val="en-US"/>
        </w:rPr>
        <w:t xml:space="preserve">The shippers will be able to accommodate both refrigerated and ambient </w:t>
      </w:r>
      <w:r w:rsidRPr="00D40CD3">
        <w:rPr>
          <w:b w:val="0"/>
          <w:u w:val="none"/>
          <w:lang w:val="en-US"/>
        </w:rPr>
        <w:t xml:space="preserve">(2-8°C + 15-25°C) </w:t>
      </w:r>
      <w:r>
        <w:rPr>
          <w:b w:val="0"/>
          <w:u w:val="none"/>
          <w:lang w:val="en-US"/>
        </w:rPr>
        <w:t>temperatures and maintain the temperatures for 48 hours in the Australian climate</w:t>
      </w:r>
      <w:r w:rsidR="00C564C0">
        <w:rPr>
          <w:b w:val="0"/>
          <w:u w:val="none"/>
          <w:lang w:val="en-US"/>
        </w:rPr>
        <w:t xml:space="preserve"> via the use of temperature loggers. </w:t>
      </w:r>
    </w:p>
    <w:p w14:paraId="0D278467" w14:textId="40C12E7C" w:rsidR="00D40CD3" w:rsidRPr="00D40CD3" w:rsidRDefault="00C61B2F" w:rsidP="00D40CD3">
      <w:pPr>
        <w:pStyle w:val="H5BulletPointTitle"/>
        <w:numPr>
          <w:ilvl w:val="0"/>
          <w:numId w:val="0"/>
        </w:numPr>
        <w:rPr>
          <w:b w:val="0"/>
          <w:u w:val="none"/>
          <w:lang w:val="en-US"/>
        </w:rPr>
      </w:pPr>
      <w:r>
        <w:rPr>
          <w:b w:val="0"/>
          <w:u w:val="none"/>
          <w:lang w:val="en-US"/>
        </w:rPr>
        <w:t xml:space="preserve">The </w:t>
      </w:r>
      <w:r w:rsidR="00F21696">
        <w:rPr>
          <w:b w:val="0"/>
          <w:u w:val="none"/>
          <w:lang w:val="en-US"/>
        </w:rPr>
        <w:t xml:space="preserve">satellite </w:t>
      </w:r>
      <w:r>
        <w:rPr>
          <w:b w:val="0"/>
          <w:u w:val="none"/>
          <w:lang w:val="en-US"/>
        </w:rPr>
        <w:t>pharmacy who is receiving the investigational product will</w:t>
      </w:r>
      <w:r w:rsidR="00F21696">
        <w:rPr>
          <w:b w:val="0"/>
          <w:u w:val="none"/>
          <w:lang w:val="en-US"/>
        </w:rPr>
        <w:t xml:space="preserve"> follow the process for</w:t>
      </w:r>
      <w:r>
        <w:rPr>
          <w:b w:val="0"/>
          <w:u w:val="none"/>
          <w:lang w:val="en-US"/>
        </w:rPr>
        <w:t xml:space="preserve"> </w:t>
      </w:r>
      <w:r w:rsidR="00F21696">
        <w:rPr>
          <w:b w:val="0"/>
          <w:u w:val="none"/>
          <w:lang w:val="en-US"/>
        </w:rPr>
        <w:t xml:space="preserve">investigational product management as outlined in the </w:t>
      </w:r>
      <w:r w:rsidR="003220F5">
        <w:rPr>
          <w:b w:val="0"/>
          <w:u w:val="none"/>
          <w:lang w:val="en-US"/>
        </w:rPr>
        <w:t>site-specific</w:t>
      </w:r>
      <w:r w:rsidR="00F21696">
        <w:rPr>
          <w:b w:val="0"/>
          <w:u w:val="none"/>
          <w:lang w:val="en-US"/>
        </w:rPr>
        <w:t xml:space="preserve"> Supervision Plan.</w:t>
      </w:r>
    </w:p>
    <w:p w14:paraId="07259CC4" w14:textId="00253564" w:rsidR="00390F87" w:rsidRPr="00D40CD3" w:rsidRDefault="00390F87" w:rsidP="00DA1B08">
      <w:pPr>
        <w:pStyle w:val="H5BulletPointTitle"/>
      </w:pPr>
      <w:r>
        <w:rPr>
          <w:lang w:val="en-US"/>
        </w:rPr>
        <w:t>Maintain records</w:t>
      </w:r>
    </w:p>
    <w:p w14:paraId="2E7DE6F4" w14:textId="12720EF0" w:rsidR="00D40CD3" w:rsidRPr="000E2E0E" w:rsidRDefault="000E2E0E" w:rsidP="00D40CD3">
      <w:pPr>
        <w:pStyle w:val="H5BulletPointTitle"/>
        <w:numPr>
          <w:ilvl w:val="0"/>
          <w:numId w:val="0"/>
        </w:numPr>
        <w:rPr>
          <w:b w:val="0"/>
          <w:u w:val="none"/>
        </w:rPr>
      </w:pPr>
      <w:r>
        <w:rPr>
          <w:b w:val="0"/>
          <w:u w:val="none"/>
          <w:lang w:val="en-US"/>
        </w:rPr>
        <w:t xml:space="preserve">The investigator, pharmacist or appropriately qualified non-pharmacist must </w:t>
      </w:r>
      <w:r w:rsidRPr="000E2E0E">
        <w:rPr>
          <w:b w:val="0"/>
          <w:u w:val="none"/>
        </w:rPr>
        <w:t>maintain records of all aspects of the management of the investigational product. These records as a minimum should include dates, quantities, batch/serial numbers, expiration dates (if applicable), and the unique code numbers assigned to the investigational product and to the trial participant.</w:t>
      </w:r>
    </w:p>
    <w:p w14:paraId="60029DEF" w14:textId="6155C5F9" w:rsidR="00390F87" w:rsidRPr="000E2E0E" w:rsidRDefault="00390F87" w:rsidP="00DA1B08">
      <w:pPr>
        <w:pStyle w:val="H5BulletPointTitle"/>
      </w:pPr>
      <w:r>
        <w:rPr>
          <w:lang w:val="en-US"/>
        </w:rPr>
        <w:t>Provide counselling on use</w:t>
      </w:r>
      <w:r w:rsidR="00914394">
        <w:rPr>
          <w:lang w:val="en-US"/>
        </w:rPr>
        <w:t xml:space="preserve"> </w:t>
      </w:r>
      <w:r>
        <w:rPr>
          <w:lang w:val="en-US"/>
        </w:rPr>
        <w:t>of investigational product</w:t>
      </w:r>
    </w:p>
    <w:p w14:paraId="088F8AF1" w14:textId="5B0D8227" w:rsidR="000E2E0E" w:rsidRDefault="000E2E0E" w:rsidP="000E2E0E">
      <w:pPr>
        <w:pStyle w:val="H5BulletPointTitle"/>
        <w:numPr>
          <w:ilvl w:val="0"/>
          <w:numId w:val="0"/>
        </w:numPr>
        <w:rPr>
          <w:b w:val="0"/>
          <w:u w:val="none"/>
          <w:lang w:val="en-US"/>
        </w:rPr>
      </w:pPr>
      <w:r w:rsidRPr="000E2E0E">
        <w:rPr>
          <w:b w:val="0"/>
          <w:u w:val="none"/>
          <w:lang w:val="en-US"/>
        </w:rPr>
        <w:lastRenderedPageBreak/>
        <w:t>The investigator, pharmacist or delegated study team member must explain the correct use of the investigational product to each participant and should check, at intervals appropriate for the trial, that each participant is following the instructions properly. Instruct participant where relevant to return empty and partially used medication containers at their next visit. Extra counseling by the investigator or delegate, for study participants regarding poor medication compliance may be required.</w:t>
      </w:r>
      <w:r w:rsidR="007D5984">
        <w:rPr>
          <w:b w:val="0"/>
          <w:u w:val="none"/>
          <w:lang w:val="en-US"/>
        </w:rPr>
        <w:t xml:space="preserve"> </w:t>
      </w:r>
    </w:p>
    <w:p w14:paraId="0E980C50" w14:textId="0F1C9616" w:rsidR="00A776D1" w:rsidRPr="00D40CD3" w:rsidRDefault="00914394" w:rsidP="00A776D1">
      <w:pPr>
        <w:pStyle w:val="H5BulletPointTitle"/>
        <w:numPr>
          <w:ilvl w:val="0"/>
          <w:numId w:val="0"/>
        </w:numPr>
        <w:rPr>
          <w:b w:val="0"/>
          <w:u w:val="none"/>
          <w:lang w:val="en-US"/>
        </w:rPr>
      </w:pPr>
      <w:r>
        <w:rPr>
          <w:b w:val="0"/>
          <w:u w:val="none"/>
          <w:lang w:val="en-US"/>
        </w:rPr>
        <w:t xml:space="preserve">When a participant is collecting medication from a satellite site under the teletrial model, </w:t>
      </w:r>
      <w:r w:rsidR="00A776D1">
        <w:rPr>
          <w:b w:val="0"/>
          <w:u w:val="none"/>
          <w:lang w:val="en-US"/>
        </w:rPr>
        <w:t>the satellite pharmacy will follow the process for investigational product management as outlined in the site-specific Supervision Plan.</w:t>
      </w:r>
    </w:p>
    <w:p w14:paraId="46A297B7" w14:textId="77777777" w:rsidR="000E2E0E" w:rsidRDefault="00390F87" w:rsidP="000E2E0E">
      <w:pPr>
        <w:pStyle w:val="H5BulletPointTitle"/>
      </w:pPr>
      <w:r>
        <w:rPr>
          <w:lang w:val="en-US"/>
        </w:rPr>
        <w:t>Randomisation and unblinding of investigational product</w:t>
      </w:r>
    </w:p>
    <w:p w14:paraId="6EE310FD" w14:textId="04808C8D" w:rsidR="000E2E0E" w:rsidRPr="007D5984" w:rsidRDefault="000E2E0E" w:rsidP="000E2E0E">
      <w:pPr>
        <w:pStyle w:val="H5BulletPointTitle"/>
        <w:numPr>
          <w:ilvl w:val="0"/>
          <w:numId w:val="0"/>
        </w:numPr>
        <w:rPr>
          <w:b w:val="0"/>
          <w:u w:val="none"/>
          <w:lang w:val="en-US"/>
        </w:rPr>
      </w:pPr>
      <w:r w:rsidRPr="000E2E0E">
        <w:rPr>
          <w:b w:val="0"/>
          <w:u w:val="none"/>
          <w:lang w:val="en-US"/>
        </w:rPr>
        <w:t xml:space="preserve">The investigator, pharmacist or delegated study team member </w:t>
      </w:r>
      <w:r>
        <w:rPr>
          <w:b w:val="0"/>
          <w:u w:val="none"/>
          <w:lang w:val="en-US"/>
        </w:rPr>
        <w:t>must f</w:t>
      </w:r>
      <w:r w:rsidR="00553F0A" w:rsidRPr="000E2E0E">
        <w:rPr>
          <w:b w:val="0"/>
          <w:u w:val="none"/>
        </w:rPr>
        <w:t>follow</w:t>
      </w:r>
      <w:r w:rsidRPr="000E2E0E">
        <w:rPr>
          <w:b w:val="0"/>
          <w:u w:val="none"/>
        </w:rPr>
        <w:t xml:space="preserve"> the trial's randomisation procedures, if any, and ensure that the code is broken only in accordance with the protocol. If the trial is blinded, the investigator must promptly document and explain to the sponsor any premature unblinding (e.g., accidental unblinding, unblinding due to a serious adverse event) of the investigational product</w:t>
      </w:r>
      <w:r w:rsidR="007D5984">
        <w:rPr>
          <w:b w:val="0"/>
          <w:u w:val="none"/>
          <w:lang w:val="en-US"/>
        </w:rPr>
        <w:t>.</w:t>
      </w:r>
    </w:p>
    <w:p w14:paraId="087D0320" w14:textId="0F788D55" w:rsidR="00390F87" w:rsidRPr="00390F87" w:rsidRDefault="00390F87" w:rsidP="00DA1B08">
      <w:pPr>
        <w:pStyle w:val="H5BulletPointTitle"/>
      </w:pPr>
      <w:r>
        <w:rPr>
          <w:lang w:val="en-US"/>
        </w:rPr>
        <w:t>Manufacture of investigational product</w:t>
      </w:r>
    </w:p>
    <w:p w14:paraId="33359F2B" w14:textId="38F3AB3B" w:rsidR="00C14F27" w:rsidRDefault="00C14F27" w:rsidP="00390F87">
      <w:pPr>
        <w:pStyle w:val="H5BulletPointTitle"/>
        <w:numPr>
          <w:ilvl w:val="0"/>
          <w:numId w:val="0"/>
        </w:numPr>
        <w:rPr>
          <w:b w:val="0"/>
          <w:u w:val="none"/>
          <w:lang w:val="en-US"/>
        </w:rPr>
      </w:pPr>
      <w:r>
        <w:rPr>
          <w:b w:val="0"/>
          <w:u w:val="none"/>
          <w:lang w:val="en-US"/>
        </w:rPr>
        <w:t>Where an investigational product requires manufacture, t</w:t>
      </w:r>
      <w:r w:rsidR="00390F87">
        <w:rPr>
          <w:b w:val="0"/>
          <w:u w:val="none"/>
          <w:lang w:val="en-US"/>
        </w:rPr>
        <w:t>he site pharmacist or</w:t>
      </w:r>
      <w:r w:rsidR="00493C39">
        <w:rPr>
          <w:b w:val="0"/>
          <w:u w:val="none"/>
          <w:lang w:val="en-US"/>
        </w:rPr>
        <w:t xml:space="preserve"> suitably qualified</w:t>
      </w:r>
      <w:r w:rsidR="00390F87">
        <w:rPr>
          <w:b w:val="0"/>
          <w:u w:val="none"/>
          <w:lang w:val="en-US"/>
        </w:rPr>
        <w:t xml:space="preserve"> delegate</w:t>
      </w:r>
      <w:r>
        <w:rPr>
          <w:b w:val="0"/>
          <w:u w:val="none"/>
          <w:lang w:val="en-US"/>
        </w:rPr>
        <w:t xml:space="preserve"> with a thorough understanding of, and training in, the application of Good Manufacturing Practice (GCP) to investigational products</w:t>
      </w:r>
      <w:r w:rsidR="008C4E39">
        <w:rPr>
          <w:b w:val="0"/>
          <w:u w:val="none"/>
          <w:lang w:val="en-US"/>
        </w:rPr>
        <w:t xml:space="preserve"> a</w:t>
      </w:r>
      <w:r>
        <w:rPr>
          <w:b w:val="0"/>
          <w:u w:val="none"/>
          <w:lang w:val="en-US"/>
        </w:rPr>
        <w:t>s specified in</w:t>
      </w:r>
      <w:r w:rsidR="008C4E39">
        <w:rPr>
          <w:b w:val="0"/>
          <w:u w:val="none"/>
          <w:lang w:val="en-US"/>
        </w:rPr>
        <w:t xml:space="preserve"> the protocol</w:t>
      </w:r>
      <w:r>
        <w:rPr>
          <w:b w:val="0"/>
          <w:u w:val="none"/>
          <w:lang w:val="en-US"/>
        </w:rPr>
        <w:t>. Co-operation is required with trial sponsors who undertake the ultimate responsibility for all aspects of the clinical trial including the quality of investigational products.</w:t>
      </w:r>
    </w:p>
    <w:p w14:paraId="76FCD703" w14:textId="624DEC8C" w:rsidR="00C14F27" w:rsidRPr="00390F87" w:rsidRDefault="00C14F27" w:rsidP="00390F87">
      <w:pPr>
        <w:pStyle w:val="H5BulletPointTitle"/>
        <w:numPr>
          <w:ilvl w:val="0"/>
          <w:numId w:val="0"/>
        </w:numPr>
        <w:rPr>
          <w:b w:val="0"/>
          <w:u w:val="none"/>
          <w:lang w:val="en-US"/>
        </w:rPr>
      </w:pPr>
      <w:r>
        <w:rPr>
          <w:b w:val="0"/>
          <w:u w:val="none"/>
          <w:lang w:val="en-US"/>
        </w:rPr>
        <w:t>NB: th</w:t>
      </w:r>
      <w:r w:rsidR="000025B9">
        <w:rPr>
          <w:b w:val="0"/>
          <w:u w:val="none"/>
          <w:lang w:val="en-US"/>
        </w:rPr>
        <w:t xml:space="preserve">e above manufacturing requirements </w:t>
      </w:r>
      <w:r>
        <w:rPr>
          <w:b w:val="0"/>
          <w:u w:val="none"/>
          <w:lang w:val="en-US"/>
        </w:rPr>
        <w:t>do not apply to reconstitution of an investigational product</w:t>
      </w:r>
      <w:r w:rsidR="000025B9">
        <w:rPr>
          <w:b w:val="0"/>
          <w:u w:val="none"/>
          <w:lang w:val="en-US"/>
        </w:rPr>
        <w:t>.</w:t>
      </w:r>
    </w:p>
    <w:p w14:paraId="599C49A2" w14:textId="5F76F79F" w:rsidR="00390F87" w:rsidRPr="0043615A" w:rsidRDefault="0043615A" w:rsidP="00390F87">
      <w:pPr>
        <w:pStyle w:val="H5BulletPointTitle"/>
      </w:pPr>
      <w:r>
        <w:rPr>
          <w:lang w:val="en-US"/>
        </w:rPr>
        <w:t>Returns</w:t>
      </w:r>
      <w:r w:rsidR="001450FC">
        <w:rPr>
          <w:lang w:val="en-US"/>
        </w:rPr>
        <w:t>, reconciliation</w:t>
      </w:r>
      <w:r>
        <w:rPr>
          <w:lang w:val="en-US"/>
        </w:rPr>
        <w:t xml:space="preserve"> and d</w:t>
      </w:r>
      <w:r w:rsidR="00390F87">
        <w:rPr>
          <w:lang w:val="en-US"/>
        </w:rPr>
        <w:t>estruction of investigational product</w:t>
      </w:r>
    </w:p>
    <w:p w14:paraId="3277AB45" w14:textId="77777777" w:rsidR="0043615A" w:rsidRDefault="0043615A" w:rsidP="0043615A">
      <w:pPr>
        <w:pStyle w:val="H5BulletPointTitle"/>
        <w:numPr>
          <w:ilvl w:val="0"/>
          <w:numId w:val="0"/>
        </w:numPr>
        <w:rPr>
          <w:b w:val="0"/>
          <w:u w:val="none"/>
          <w:lang w:val="en-US"/>
        </w:rPr>
      </w:pPr>
      <w:r>
        <w:rPr>
          <w:b w:val="0"/>
          <w:u w:val="none"/>
          <w:lang w:val="en-US"/>
        </w:rPr>
        <w:t>All product containers, including the unused product, packs and other packaging for the investigational product are retained by the participants and returned to the site pharmacy on cessation or exit from the study for accounting and return to the sponsor or destruction as per sponsor requirements:</w:t>
      </w:r>
    </w:p>
    <w:p w14:paraId="33F2500E" w14:textId="77777777" w:rsidR="0043615A" w:rsidRPr="007D5984" w:rsidRDefault="0043615A" w:rsidP="0043615A">
      <w:pPr>
        <w:pStyle w:val="H5BulletPointTitle"/>
        <w:numPr>
          <w:ilvl w:val="0"/>
          <w:numId w:val="27"/>
        </w:numPr>
        <w:rPr>
          <w:b w:val="0"/>
          <w:u w:val="none"/>
        </w:rPr>
      </w:pPr>
      <w:r>
        <w:rPr>
          <w:b w:val="0"/>
          <w:u w:val="none"/>
          <w:lang w:val="en-US"/>
        </w:rPr>
        <w:t>The return of investigational product (used and unused packets) are recorded within the Case Report Form</w:t>
      </w:r>
    </w:p>
    <w:p w14:paraId="71F608B1" w14:textId="77777777" w:rsidR="0043615A" w:rsidRPr="007D5984" w:rsidRDefault="0043615A" w:rsidP="0043615A">
      <w:pPr>
        <w:pStyle w:val="H5BulletPointTitle"/>
        <w:numPr>
          <w:ilvl w:val="0"/>
          <w:numId w:val="27"/>
        </w:numPr>
        <w:rPr>
          <w:b w:val="0"/>
          <w:u w:val="none"/>
        </w:rPr>
      </w:pPr>
      <w:r>
        <w:rPr>
          <w:b w:val="0"/>
          <w:u w:val="none"/>
          <w:lang w:val="en-US"/>
        </w:rPr>
        <w:t>Once accounted for, all unused/partially used/expired returns will either be returned to the sponsor or be destroyed at the site pharmacy following pharmacy procedures in accordance with the protocol and sponsor requirements</w:t>
      </w:r>
    </w:p>
    <w:p w14:paraId="06B865D1" w14:textId="5E94D58C" w:rsidR="0043615A" w:rsidRPr="003A254B" w:rsidRDefault="0043615A" w:rsidP="0043615A">
      <w:pPr>
        <w:pStyle w:val="H5BulletPointTitle"/>
        <w:numPr>
          <w:ilvl w:val="0"/>
          <w:numId w:val="27"/>
        </w:numPr>
        <w:rPr>
          <w:b w:val="0"/>
          <w:u w:val="none"/>
        </w:rPr>
      </w:pPr>
      <w:r>
        <w:rPr>
          <w:b w:val="0"/>
          <w:u w:val="none"/>
          <w:lang w:val="en-US"/>
        </w:rPr>
        <w:t>If not able to be destroyed at the time of receipt, investigational product must be clearly identified and quarantined in a secure location of the site pharmacy to be destroyed at a later time</w:t>
      </w:r>
    </w:p>
    <w:p w14:paraId="0ED14B35" w14:textId="2B74B397" w:rsidR="003A254B" w:rsidRPr="007D5984" w:rsidRDefault="003A254B" w:rsidP="0043615A">
      <w:pPr>
        <w:pStyle w:val="H5BulletPointTitle"/>
        <w:numPr>
          <w:ilvl w:val="0"/>
          <w:numId w:val="27"/>
        </w:numPr>
        <w:rPr>
          <w:b w:val="0"/>
          <w:u w:val="none"/>
        </w:rPr>
      </w:pPr>
      <w:r>
        <w:rPr>
          <w:b w:val="0"/>
          <w:u w:val="none"/>
          <w:lang w:val="en-US"/>
        </w:rPr>
        <w:lastRenderedPageBreak/>
        <w:t>Destruction of unused investigational product should be carried out for a given trial site or a given trial period only after any discrepancies have been investigated and satisfactorily explained and the reconciliation has been accepted. Recording of destruction operations should be carried out in such a manner that all operations may be accounted for</w:t>
      </w:r>
    </w:p>
    <w:p w14:paraId="206BC614" w14:textId="77BF64CB" w:rsidR="0043615A" w:rsidRPr="0043615A" w:rsidRDefault="0043615A" w:rsidP="00390F87">
      <w:pPr>
        <w:pStyle w:val="H5BulletPointTitle"/>
      </w:pPr>
      <w:r>
        <w:rPr>
          <w:lang w:val="en-US"/>
        </w:rPr>
        <w:t>Recalls</w:t>
      </w:r>
      <w:r w:rsidR="005F4BF2">
        <w:rPr>
          <w:lang w:val="en-US"/>
        </w:rPr>
        <w:t xml:space="preserve"> of investigational product</w:t>
      </w:r>
    </w:p>
    <w:p w14:paraId="459271B6" w14:textId="56BF659E" w:rsidR="0043615A" w:rsidRDefault="0043615A" w:rsidP="0043615A">
      <w:pPr>
        <w:pStyle w:val="H5BulletPointTitle"/>
        <w:numPr>
          <w:ilvl w:val="0"/>
          <w:numId w:val="0"/>
        </w:numPr>
        <w:rPr>
          <w:b w:val="0"/>
          <w:u w:val="none"/>
          <w:lang w:val="en-US"/>
        </w:rPr>
      </w:pPr>
      <w:r>
        <w:rPr>
          <w:b w:val="0"/>
          <w:u w:val="none"/>
          <w:lang w:val="en-US"/>
        </w:rPr>
        <w:t>Procedures for retrieving investigational products and documenting this retrieval should be agreed by the sponsor, in collaboration with the manufacturer or importer where different. The investigator and monitor need to understand their obligations under the retrieval procedure.</w:t>
      </w:r>
    </w:p>
    <w:p w14:paraId="07AA3817" w14:textId="683B6CFC" w:rsidR="0043615A" w:rsidRPr="0043615A" w:rsidRDefault="0043615A" w:rsidP="0043615A">
      <w:pPr>
        <w:pStyle w:val="H5BulletPointTitle"/>
        <w:numPr>
          <w:ilvl w:val="0"/>
          <w:numId w:val="0"/>
        </w:numPr>
        <w:rPr>
          <w:b w:val="0"/>
          <w:u w:val="none"/>
        </w:rPr>
      </w:pPr>
      <w:r>
        <w:rPr>
          <w:b w:val="0"/>
          <w:u w:val="none"/>
          <w:lang w:val="en-US"/>
        </w:rPr>
        <w:t>The sponsor should ensure that the supplier of any comparator or other medication to be used in a clinical trial has a system for communicating to the sponsor the need to recall any product supplied.</w:t>
      </w:r>
    </w:p>
    <w:p w14:paraId="57B84D1D" w14:textId="77777777" w:rsidR="001D5377" w:rsidRDefault="001D5377" w:rsidP="001D5377">
      <w:pPr>
        <w:pStyle w:val="H4BulletPointTitle"/>
        <w:rPr>
          <w:lang w:val="en-AU"/>
        </w:rPr>
      </w:pPr>
      <w:r>
        <w:t>Dissemination and Implementation</w:t>
      </w:r>
    </w:p>
    <w:p w14:paraId="54733C62" w14:textId="77777777" w:rsidR="00537FB8" w:rsidRPr="000E2E0E" w:rsidRDefault="00537FB8" w:rsidP="00537FB8">
      <w:pPr>
        <w:rPr>
          <w:lang w:eastAsia="x-none"/>
        </w:rPr>
      </w:pPr>
      <w:r w:rsidRPr="006A0FBA">
        <w:rPr>
          <w:lang w:eastAsia="x-none"/>
        </w:rPr>
        <w:t>Approved SOPs will be diss</w:t>
      </w:r>
      <w:r w:rsidR="005D433B" w:rsidRPr="006A0FBA">
        <w:rPr>
          <w:lang w:eastAsia="x-none"/>
        </w:rPr>
        <w:t xml:space="preserve">eminated </w:t>
      </w:r>
      <w:r w:rsidR="005D433B" w:rsidRPr="000E2E0E">
        <w:rPr>
          <w:lang w:eastAsia="x-none"/>
        </w:rPr>
        <w:t>electronically by (SITE)</w:t>
      </w:r>
      <w:r w:rsidRPr="000E2E0E">
        <w:rPr>
          <w:lang w:eastAsia="x-none"/>
        </w:rPr>
        <w:t>. SOPs will be made available in hard copy format or electronically upon request. Any updates to the existing approved SOPs will be disseminated internally, and will be effective immediately.</w:t>
      </w:r>
    </w:p>
    <w:p w14:paraId="63E05630" w14:textId="77777777" w:rsidR="00537FB8" w:rsidRPr="000E2E0E" w:rsidRDefault="00537FB8" w:rsidP="00537FB8">
      <w:pPr>
        <w:pStyle w:val="H4BulletPointTitle"/>
        <w:rPr>
          <w:lang w:val="en-AU"/>
        </w:rPr>
      </w:pPr>
      <w:r w:rsidRPr="000E2E0E">
        <w:t>Monitoring Compliance and Effectiveness</w:t>
      </w:r>
    </w:p>
    <w:p w14:paraId="3057606E" w14:textId="77777777" w:rsidR="00537FB8" w:rsidRPr="006A0FBA" w:rsidRDefault="00537FB8" w:rsidP="00537FB8">
      <w:pPr>
        <w:rPr>
          <w:lang w:eastAsia="x-none"/>
        </w:rPr>
      </w:pPr>
      <w:r w:rsidRPr="000E2E0E">
        <w:rPr>
          <w:lang w:eastAsia="x-none"/>
        </w:rPr>
        <w:t xml:space="preserve">Compliance with this SOP will be monitored as part of the </w:t>
      </w:r>
      <w:r w:rsidR="005D433B" w:rsidRPr="000E2E0E">
        <w:rPr>
          <w:lang w:eastAsia="x-none"/>
        </w:rPr>
        <w:t xml:space="preserve">(SITE) </w:t>
      </w:r>
      <w:r w:rsidRPr="000E2E0E">
        <w:rPr>
          <w:lang w:eastAsia="x-none"/>
        </w:rPr>
        <w:t xml:space="preserve">monitoring and audit process. Any queries concerning the effectiveness of this SOP identified during the </w:t>
      </w:r>
      <w:r w:rsidR="005D433B" w:rsidRPr="000E2E0E">
        <w:rPr>
          <w:lang w:eastAsia="x-none"/>
        </w:rPr>
        <w:t xml:space="preserve">(SITE) </w:t>
      </w:r>
      <w:r w:rsidRPr="000E2E0E">
        <w:rPr>
          <w:lang w:eastAsia="x-none"/>
        </w:rPr>
        <w:t>monitoring</w:t>
      </w:r>
      <w:r w:rsidRPr="006A0FBA">
        <w:rPr>
          <w:lang w:eastAsia="x-none"/>
        </w:rPr>
        <w:t xml:space="preserve"> process or through use will be addressed and may result in the requirement to update the SOP.</w:t>
      </w:r>
    </w:p>
    <w:p w14:paraId="3EE620DD" w14:textId="11E9C2AC" w:rsidR="00A10C47" w:rsidRPr="00A10C47" w:rsidRDefault="00537FB8" w:rsidP="00A10C47">
      <w:pPr>
        <w:pStyle w:val="H4BulletPointTitle"/>
      </w:pPr>
      <w:r>
        <w:t>Review and Updating</w:t>
      </w:r>
    </w:p>
    <w:p w14:paraId="656D50D5" w14:textId="77777777" w:rsidR="00537FB8" w:rsidRPr="006A0FBA" w:rsidRDefault="00537FB8" w:rsidP="00537FB8">
      <w:pPr>
        <w:rPr>
          <w:lang w:eastAsia="x-none"/>
        </w:rPr>
      </w:pPr>
      <w:r w:rsidRPr="006A0FBA">
        <w:rPr>
          <w:lang w:eastAsia="x-none"/>
        </w:rPr>
        <w:t>This SOP will be reviewed every three years, or when changes to legislation or working practices that impact upon the content of this document. This SOP may be merged with another SOP if appropriate or removed entirely if it becomes redundant.</w:t>
      </w:r>
    </w:p>
    <w:p w14:paraId="74058F7F" w14:textId="09B1D78D" w:rsidR="00A10C47" w:rsidRPr="00A10C47" w:rsidRDefault="001D5377" w:rsidP="00A10C47">
      <w:pPr>
        <w:pStyle w:val="H4BulletPointTitle"/>
        <w:rPr>
          <w:lang w:val="en-AU"/>
        </w:rPr>
      </w:pPr>
      <w:r>
        <w:t>Reference</w:t>
      </w:r>
      <w:r w:rsidR="001456D4">
        <w:rPr>
          <w:lang w:val="en-AU"/>
        </w:rPr>
        <w:t>(s)</w:t>
      </w:r>
    </w:p>
    <w:p w14:paraId="2A96A7AF" w14:textId="183D32B5" w:rsidR="00CA12C4" w:rsidRDefault="002059BC" w:rsidP="00CA12C4">
      <w:pPr>
        <w:rPr>
          <w:lang w:eastAsia="x-none"/>
        </w:rPr>
      </w:pPr>
      <w:r>
        <w:rPr>
          <w:lang w:eastAsia="x-none"/>
        </w:rPr>
        <w:t>VMIA Standard Operating Procedures to achieve Good Clinical Practice (GCP) in Australian clinical research</w:t>
      </w:r>
      <w:r w:rsidR="008E2D77">
        <w:rPr>
          <w:lang w:eastAsia="x-none"/>
        </w:rPr>
        <w:t>, VMIA</w:t>
      </w:r>
      <w:r>
        <w:rPr>
          <w:lang w:eastAsia="x-none"/>
        </w:rPr>
        <w:t xml:space="preserve"> (2007)</w:t>
      </w:r>
    </w:p>
    <w:p w14:paraId="2EE577E3" w14:textId="0B26EC70" w:rsidR="00370A48" w:rsidRPr="000E2E0E" w:rsidRDefault="008E2D77" w:rsidP="00CA12C4">
      <w:pPr>
        <w:rPr>
          <w:lang w:eastAsia="x-none"/>
        </w:rPr>
      </w:pPr>
      <w:r>
        <w:rPr>
          <w:lang w:eastAsia="x-none"/>
        </w:rPr>
        <w:t xml:space="preserve">Guide to Good Manufacturing Practice for Medicinal Products - </w:t>
      </w:r>
      <w:r w:rsidR="00370A48">
        <w:rPr>
          <w:lang w:eastAsia="x-none"/>
        </w:rPr>
        <w:t>Annexe 13</w:t>
      </w:r>
      <w:r>
        <w:rPr>
          <w:lang w:eastAsia="x-none"/>
        </w:rPr>
        <w:t>:</w:t>
      </w:r>
      <w:r w:rsidR="003A254B">
        <w:rPr>
          <w:lang w:eastAsia="x-none"/>
        </w:rPr>
        <w:t xml:space="preserve"> Manufacture of Investigational Medicinal Products</w:t>
      </w:r>
      <w:r>
        <w:rPr>
          <w:lang w:eastAsia="x-none"/>
        </w:rPr>
        <w:t>, TGA (2017)</w:t>
      </w:r>
    </w:p>
    <w:p w14:paraId="70ABB1D3" w14:textId="77777777" w:rsidR="001D5377" w:rsidRDefault="004A188D" w:rsidP="001D5377">
      <w:pPr>
        <w:pStyle w:val="H4BulletPointTitle"/>
        <w:rPr>
          <w:lang w:val="en-AU"/>
        </w:rPr>
      </w:pPr>
      <w:r>
        <w:rPr>
          <w:lang w:val="en-AU"/>
        </w:rPr>
        <w:t>Related Document</w:t>
      </w:r>
      <w:r w:rsidR="00537FB8">
        <w:rPr>
          <w:lang w:val="en-AU"/>
        </w:rPr>
        <w:t>(</w:t>
      </w:r>
      <w:r>
        <w:rPr>
          <w:lang w:val="en-AU"/>
        </w:rPr>
        <w:t>s</w:t>
      </w:r>
      <w:r w:rsidR="00537FB8">
        <w:rPr>
          <w:lang w:val="en-AU"/>
        </w:rPr>
        <w:t>)</w:t>
      </w:r>
    </w:p>
    <w:p w14:paraId="05D1CFE9" w14:textId="0C94A797" w:rsidR="00364888" w:rsidRPr="000E2E0E" w:rsidRDefault="005D433B" w:rsidP="00364888">
      <w:pPr>
        <w:rPr>
          <w:lang w:eastAsia="x-none"/>
        </w:rPr>
      </w:pPr>
      <w:r w:rsidRPr="000E2E0E">
        <w:rPr>
          <w:lang w:eastAsia="x-none"/>
        </w:rPr>
        <w:t xml:space="preserve">(SITE) </w:t>
      </w:r>
      <w:r w:rsidR="00475ACD" w:rsidRPr="000E2E0E">
        <w:rPr>
          <w:lang w:eastAsia="x-none"/>
        </w:rPr>
        <w:t>TT</w:t>
      </w:r>
      <w:r w:rsidR="00364888" w:rsidRPr="000E2E0E">
        <w:rPr>
          <w:lang w:eastAsia="x-none"/>
        </w:rPr>
        <w:t>-SOP-03</w:t>
      </w:r>
      <w:r w:rsidR="00C51BD0" w:rsidRPr="000E2E0E">
        <w:rPr>
          <w:lang w:eastAsia="x-none"/>
        </w:rPr>
        <w:t xml:space="preserve">: </w:t>
      </w:r>
      <w:r w:rsidR="00364888" w:rsidRPr="000E2E0E">
        <w:rPr>
          <w:lang w:eastAsia="x-none"/>
        </w:rPr>
        <w:t>Clinical Trial Training</w:t>
      </w:r>
      <w:r w:rsidR="00475ACD" w:rsidRPr="000E2E0E">
        <w:rPr>
          <w:lang w:eastAsia="x-none"/>
        </w:rPr>
        <w:t xml:space="preserve"> </w:t>
      </w:r>
    </w:p>
    <w:p w14:paraId="5D21D29E" w14:textId="3DEE0567" w:rsidR="00364888" w:rsidRPr="000E2E0E" w:rsidRDefault="005D433B" w:rsidP="00364888">
      <w:pPr>
        <w:rPr>
          <w:lang w:eastAsia="x-none"/>
        </w:rPr>
      </w:pPr>
      <w:r w:rsidRPr="000E2E0E">
        <w:rPr>
          <w:lang w:eastAsia="x-none"/>
        </w:rPr>
        <w:t xml:space="preserve">(SITE) </w:t>
      </w:r>
      <w:r w:rsidR="00475ACD" w:rsidRPr="000E2E0E">
        <w:rPr>
          <w:lang w:eastAsia="x-none"/>
        </w:rPr>
        <w:t>TT</w:t>
      </w:r>
      <w:r w:rsidR="00364888" w:rsidRPr="000E2E0E">
        <w:rPr>
          <w:lang w:eastAsia="x-none"/>
        </w:rPr>
        <w:t>-SOP-04</w:t>
      </w:r>
      <w:r w:rsidR="00C51BD0" w:rsidRPr="000E2E0E">
        <w:rPr>
          <w:lang w:eastAsia="x-none"/>
        </w:rPr>
        <w:t>:</w:t>
      </w:r>
      <w:r w:rsidR="00364888" w:rsidRPr="000E2E0E">
        <w:rPr>
          <w:lang w:eastAsia="x-none"/>
        </w:rPr>
        <w:t xml:space="preserve"> Delegation of Duties</w:t>
      </w:r>
      <w:r w:rsidR="00475ACD" w:rsidRPr="000E2E0E">
        <w:rPr>
          <w:lang w:eastAsia="x-none"/>
        </w:rPr>
        <w:t xml:space="preserve"> </w:t>
      </w:r>
    </w:p>
    <w:p w14:paraId="7599E158" w14:textId="77777777" w:rsidR="00C51BD0" w:rsidRPr="000E2E0E" w:rsidRDefault="005D433B" w:rsidP="00C51BD0">
      <w:pPr>
        <w:rPr>
          <w:lang w:eastAsia="x-none"/>
        </w:rPr>
      </w:pPr>
      <w:r w:rsidRPr="000E2E0E">
        <w:rPr>
          <w:lang w:eastAsia="x-none"/>
        </w:rPr>
        <w:t>(SITE)</w:t>
      </w:r>
      <w:r w:rsidR="00C51BD0" w:rsidRPr="000E2E0E">
        <w:rPr>
          <w:lang w:eastAsia="x-none"/>
        </w:rPr>
        <w:t xml:space="preserve"> Trial Sample Log </w:t>
      </w:r>
    </w:p>
    <w:p w14:paraId="2B66E707" w14:textId="77777777" w:rsidR="004A3678" w:rsidRPr="000E2E0E" w:rsidRDefault="005D433B" w:rsidP="004A3678">
      <w:pPr>
        <w:rPr>
          <w:lang w:eastAsia="x-none"/>
        </w:rPr>
      </w:pPr>
      <w:r w:rsidRPr="000E2E0E">
        <w:rPr>
          <w:lang w:eastAsia="x-none"/>
        </w:rPr>
        <w:t>(SITE)</w:t>
      </w:r>
      <w:r w:rsidR="006F4E45" w:rsidRPr="000E2E0E">
        <w:rPr>
          <w:lang w:eastAsia="x-none"/>
        </w:rPr>
        <w:t xml:space="preserve"> Centre </w:t>
      </w:r>
      <w:r w:rsidR="004A3678" w:rsidRPr="000E2E0E">
        <w:rPr>
          <w:lang w:eastAsia="x-none"/>
        </w:rPr>
        <w:t>Policy on Preventive Maintenance.</w:t>
      </w:r>
    </w:p>
    <w:p w14:paraId="25B9CD56" w14:textId="4FDE0DBC" w:rsidR="004A3678" w:rsidRPr="000E2E0E" w:rsidRDefault="005D433B" w:rsidP="004A3678">
      <w:pPr>
        <w:rPr>
          <w:lang w:eastAsia="x-none"/>
        </w:rPr>
      </w:pPr>
      <w:r w:rsidRPr="000E2E0E">
        <w:rPr>
          <w:lang w:eastAsia="x-none"/>
        </w:rPr>
        <w:lastRenderedPageBreak/>
        <w:t xml:space="preserve">(SITE) </w:t>
      </w:r>
      <w:r w:rsidR="00537FB8" w:rsidRPr="000E2E0E">
        <w:rPr>
          <w:lang w:eastAsia="x-none"/>
        </w:rPr>
        <w:t>Clinical Procedure</w:t>
      </w:r>
      <w:r w:rsidR="004A3678" w:rsidRPr="000E2E0E">
        <w:rPr>
          <w:lang w:eastAsia="x-none"/>
        </w:rPr>
        <w:t xml:space="preserve"> Personal Protective Equipment </w:t>
      </w:r>
    </w:p>
    <w:p w14:paraId="14C1C98E" w14:textId="695E0168" w:rsidR="00A10C47" w:rsidRDefault="00A10C47" w:rsidP="004A3678">
      <w:pPr>
        <w:rPr>
          <w:color w:val="FF0000"/>
          <w:lang w:eastAsia="x-none"/>
        </w:rPr>
      </w:pPr>
    </w:p>
    <w:p w14:paraId="5668F528" w14:textId="32F08453" w:rsidR="00A10C47" w:rsidRDefault="00A10C47" w:rsidP="00A10C47">
      <w:pPr>
        <w:pStyle w:val="H4BulletPointTitle"/>
        <w:rPr>
          <w:lang w:val="en-US"/>
        </w:rPr>
      </w:pPr>
      <w:r>
        <w:rPr>
          <w:lang w:val="en-US"/>
        </w:rPr>
        <w:t>Appendices</w:t>
      </w:r>
    </w:p>
    <w:p w14:paraId="50112CE8" w14:textId="4E044474" w:rsidR="00A10C47" w:rsidRDefault="00A10C47" w:rsidP="00A10C47">
      <w:pPr>
        <w:rPr>
          <w:lang w:val="en-US" w:eastAsia="x-none"/>
        </w:rPr>
      </w:pPr>
      <w:r>
        <w:rPr>
          <w:lang w:val="en-US" w:eastAsia="x-none"/>
        </w:rPr>
        <w:t>Appendix 1. Example of IP Accountability Record</w:t>
      </w:r>
    </w:p>
    <w:p w14:paraId="14C2FCDF" w14:textId="46D35854" w:rsidR="00A10C47" w:rsidRDefault="00A10C47" w:rsidP="00A10C47">
      <w:pPr>
        <w:rPr>
          <w:lang w:val="en-US" w:eastAsia="x-none"/>
        </w:rPr>
      </w:pPr>
    </w:p>
    <w:p w14:paraId="17C861F5" w14:textId="77777777" w:rsidR="00BD20D1" w:rsidRDefault="00BD20D1" w:rsidP="00A10C47">
      <w:pPr>
        <w:rPr>
          <w:lang w:val="en-US" w:eastAsia="x-none"/>
        </w:rPr>
        <w:sectPr w:rsidR="00BD20D1" w:rsidSect="004D5519">
          <w:headerReference w:type="default" r:id="rId16"/>
          <w:footerReference w:type="even" r:id="rId17"/>
          <w:footerReference w:type="default" r:id="rId18"/>
          <w:headerReference w:type="first" r:id="rId19"/>
          <w:footerReference w:type="first" r:id="rId20"/>
          <w:pgSz w:w="11906" w:h="16838"/>
          <w:pgMar w:top="2098" w:right="1021" w:bottom="907" w:left="1021" w:header="510" w:footer="288" w:gutter="0"/>
          <w:cols w:space="708"/>
          <w:titlePg/>
          <w:docGrid w:linePitch="360"/>
        </w:sectPr>
      </w:pPr>
    </w:p>
    <w:p w14:paraId="2EB9D749" w14:textId="42E35977" w:rsidR="00A10C47" w:rsidRPr="00245851" w:rsidRDefault="00BD20D1" w:rsidP="00245851">
      <w:pPr>
        <w:rPr>
          <w:b/>
          <w:lang w:val="en-US" w:eastAsia="x-none"/>
        </w:rPr>
      </w:pPr>
      <w:r w:rsidRPr="00BD20D1">
        <w:rPr>
          <w:b/>
          <w:lang w:val="en-US" w:eastAsia="x-none"/>
        </w:rPr>
        <w:lastRenderedPageBreak/>
        <w:t>Appendix 1. Example of I</w:t>
      </w:r>
      <w:r w:rsidR="00245851">
        <w:rPr>
          <w:b/>
          <w:lang w:val="en-US" w:eastAsia="x-none"/>
        </w:rPr>
        <w:t xml:space="preserve">nvestigational </w:t>
      </w:r>
      <w:r w:rsidRPr="00BD20D1">
        <w:rPr>
          <w:b/>
          <w:lang w:val="en-US" w:eastAsia="x-none"/>
        </w:rPr>
        <w:t>P</w:t>
      </w:r>
      <w:r w:rsidR="00245851">
        <w:rPr>
          <w:b/>
          <w:lang w:val="en-US" w:eastAsia="x-none"/>
        </w:rPr>
        <w:t>roduct</w:t>
      </w:r>
      <w:r w:rsidRPr="00BD20D1">
        <w:rPr>
          <w:b/>
          <w:lang w:val="en-US" w:eastAsia="x-none"/>
        </w:rPr>
        <w:t xml:space="preserve"> Accountability Record</w:t>
      </w:r>
      <w:r w:rsidR="00245851">
        <w:rPr>
          <w:noProof/>
        </w:rPr>
        <w:drawing>
          <wp:inline distT="0" distB="0" distL="0" distR="0" wp14:anchorId="6C0C463E" wp14:editId="1284520C">
            <wp:extent cx="8928339" cy="493183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067275" cy="5008583"/>
                    </a:xfrm>
                    <a:prstGeom prst="rect">
                      <a:avLst/>
                    </a:prstGeom>
                  </pic:spPr>
                </pic:pic>
              </a:graphicData>
            </a:graphic>
          </wp:inline>
        </w:drawing>
      </w:r>
    </w:p>
    <w:sectPr w:rsidR="00A10C47" w:rsidRPr="00245851" w:rsidSect="00BD20D1">
      <w:pgSz w:w="16838" w:h="11906" w:orient="landscape"/>
      <w:pgMar w:top="1021" w:right="2098" w:bottom="1021" w:left="907" w:header="510" w:footer="2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lana Donaldson" w:date="2019-09-25T16:56:00Z" w:initials="AD">
    <w:p w14:paraId="74856C33" w14:textId="6A1E1104" w:rsidR="0089138F" w:rsidRDefault="0089138F">
      <w:pPr>
        <w:pStyle w:val="CommentText"/>
      </w:pPr>
      <w:r>
        <w:rPr>
          <w:rStyle w:val="CommentReference"/>
        </w:rPr>
        <w:annotationRef/>
      </w:r>
      <w:r>
        <w:t xml:space="preserve">Currently under </w:t>
      </w:r>
      <w:r w:rsidR="001917AF">
        <w:t>review</w:t>
      </w:r>
      <w:r>
        <w:t xml:space="preserve"> by </w:t>
      </w:r>
      <w:proofErr w:type="spellStart"/>
      <w:r>
        <w:t>teletrials</w:t>
      </w:r>
      <w:proofErr w:type="spellEnd"/>
      <w:r>
        <w:t xml:space="preserve"> steering committee</w:t>
      </w:r>
      <w:r w:rsidR="001917AF">
        <w:t xml:space="preserve"> (25-Sep-19)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56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56C33" w16cid:durableId="21361A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8353" w14:textId="77777777" w:rsidR="00DB7A27" w:rsidRDefault="00DB7A27">
      <w:r>
        <w:separator/>
      </w:r>
    </w:p>
  </w:endnote>
  <w:endnote w:type="continuationSeparator" w:id="0">
    <w:p w14:paraId="5335F46D" w14:textId="77777777" w:rsidR="00DB7A27" w:rsidRDefault="00DB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C823" w14:textId="77777777" w:rsidR="00316AE6" w:rsidRDefault="00316AE6" w:rsidP="00A2584D">
    <w:pPr>
      <w:pStyle w:val="Footer-TermsofReference"/>
    </w:pPr>
  </w:p>
  <w:p w14:paraId="0E59D5E9"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150637">
      <w:fldChar w:fldCharType="begin"/>
    </w:r>
    <w:r w:rsidR="00150637">
      <w:instrText xml:space="preserve"> NUMPAGES </w:instrText>
    </w:r>
    <w:r w:rsidR="00150637">
      <w:fldChar w:fldCharType="separate"/>
    </w:r>
    <w:r w:rsidR="00150637">
      <w:rPr>
        <w:noProof/>
      </w:rPr>
      <w:t>4</w:t>
    </w:r>
    <w:r w:rsidR="0015063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2C2A" w14:textId="77777777" w:rsidR="00F026C8" w:rsidRPr="00DF18F5" w:rsidRDefault="00F026C8" w:rsidP="00F026C8">
    <w:pPr>
      <w:pStyle w:val="NormalWeb"/>
      <w:pBdr>
        <w:top w:val="single" w:sz="4" w:space="1" w:color="auto"/>
      </w:pBdr>
      <w:spacing w:before="0" w:beforeAutospacing="0" w:after="0" w:afterAutospacing="0"/>
      <w:rPr>
        <w:rFonts w:asciiTheme="minorHAnsi" w:hAnsiTheme="minorHAnsi" w:cstheme="minorHAnsi"/>
        <w:sz w:val="18"/>
        <w:szCs w:val="18"/>
      </w:rPr>
    </w:pPr>
    <w:r w:rsidRPr="00DF18F5">
      <w:rPr>
        <w:rFonts w:asciiTheme="minorHAnsi" w:hAnsiTheme="minorHAnsi" w:cstheme="minorHAnsi"/>
        <w:sz w:val="18"/>
        <w:szCs w:val="18"/>
      </w:rPr>
      <w:t>TT-SOP-</w:t>
    </w:r>
    <w:r>
      <w:rPr>
        <w:rFonts w:asciiTheme="minorHAnsi" w:hAnsiTheme="minorHAnsi" w:cstheme="minorHAnsi"/>
        <w:sz w:val="18"/>
        <w:szCs w:val="18"/>
      </w:rPr>
      <w:t>13</w:t>
    </w:r>
    <w:r w:rsidRPr="00DF18F5">
      <w:rPr>
        <w:rFonts w:asciiTheme="minorHAnsi" w:hAnsiTheme="minorHAnsi" w:cstheme="minorHAnsi"/>
        <w:sz w:val="18"/>
        <w:szCs w:val="18"/>
      </w:rPr>
      <w:t xml:space="preserve"> v1.0: </w:t>
    </w:r>
    <w:r>
      <w:rPr>
        <w:rFonts w:asciiTheme="minorHAnsi" w:hAnsiTheme="minorHAnsi" w:cstheme="minorHAnsi"/>
        <w:sz w:val="18"/>
        <w:szCs w:val="18"/>
      </w:rPr>
      <w:t>Management of Investigational Product</w:t>
    </w:r>
    <w:r w:rsidRPr="00DF18F5">
      <w:rPr>
        <w:rFonts w:asciiTheme="minorHAnsi" w:hAnsiTheme="minorHAnsi" w:cstheme="minorHAnsi"/>
        <w:sz w:val="18"/>
        <w:szCs w:val="18"/>
      </w:rPr>
      <w:t xml:space="preserve"> with Teletrials</w:t>
    </w:r>
  </w:p>
  <w:p w14:paraId="7AF838EC" w14:textId="77777777" w:rsidR="00F026C8" w:rsidRPr="00DF18F5" w:rsidRDefault="00F026C8" w:rsidP="00F026C8">
    <w:pPr>
      <w:pStyle w:val="NormalWeb"/>
      <w:spacing w:before="0" w:beforeAutospacing="0" w:after="0" w:afterAutospacing="0"/>
      <w:rPr>
        <w:rFonts w:asciiTheme="minorHAnsi" w:hAnsiTheme="minorHAnsi" w:cstheme="minorHAnsi"/>
        <w:sz w:val="18"/>
        <w:szCs w:val="18"/>
        <w:lang w:val="en-US"/>
      </w:rPr>
    </w:pPr>
    <w:r w:rsidRPr="00DF18F5">
      <w:rPr>
        <w:rFonts w:asciiTheme="minorHAnsi" w:hAnsiTheme="minorHAnsi" w:cstheme="minorHAnsi"/>
        <w:sz w:val="18"/>
        <w:szCs w:val="18"/>
        <w:lang w:val="en-US"/>
      </w:rPr>
      <w:t xml:space="preserve">Developed by VCCC and PCCTU (based on COSA Australasian Tele-trials model) </w:t>
    </w:r>
    <w:r>
      <w:rPr>
        <w:rFonts w:asciiTheme="minorHAnsi" w:hAnsiTheme="minorHAnsi" w:cstheme="minorHAnsi"/>
        <w:sz w:val="18"/>
        <w:szCs w:val="18"/>
        <w:lang w:val="en-US"/>
      </w:rPr>
      <w:t>September</w:t>
    </w:r>
    <w:r w:rsidRPr="00DF18F5">
      <w:rPr>
        <w:rFonts w:asciiTheme="minorHAnsi" w:hAnsiTheme="minorHAnsi" w:cstheme="minorHAnsi"/>
        <w:sz w:val="18"/>
        <w:szCs w:val="18"/>
        <w:lang w:val="en-US"/>
      </w:rPr>
      <w:t xml:space="preserve"> 201</w:t>
    </w:r>
    <w:r>
      <w:rPr>
        <w:rFonts w:asciiTheme="minorHAnsi" w:hAnsiTheme="minorHAnsi" w:cstheme="minorHAnsi"/>
        <w:sz w:val="18"/>
        <w:szCs w:val="18"/>
        <w:lang w:val="en-US"/>
      </w:rPr>
      <w:t>9</w:t>
    </w:r>
  </w:p>
  <w:p w14:paraId="1FACA4B5" w14:textId="77777777" w:rsidR="00F026C8" w:rsidRPr="00DF18F5" w:rsidRDefault="00684FE4" w:rsidP="00F026C8">
    <w:pPr>
      <w:pStyle w:val="NormalWeb"/>
      <w:spacing w:before="0" w:beforeAutospacing="0" w:after="0" w:afterAutospacing="0"/>
      <w:rPr>
        <w:rFonts w:asciiTheme="minorHAnsi" w:hAnsiTheme="minorHAnsi" w:cstheme="minorHAnsi"/>
        <w:sz w:val="18"/>
        <w:szCs w:val="18"/>
      </w:rPr>
    </w:pPr>
    <w:hyperlink r:id="rId1" w:history="1">
      <w:r w:rsidR="00F026C8" w:rsidRPr="00DF18F5">
        <w:rPr>
          <w:rStyle w:val="Hyperlink"/>
          <w:rFonts w:asciiTheme="minorHAnsi" w:hAnsiTheme="minorHAnsi" w:cstheme="minorHAnsi"/>
          <w:sz w:val="18"/>
          <w:szCs w:val="18"/>
        </w:rPr>
        <w:t xml:space="preserve">http://www.viccompcancerctr.org </w:t>
      </w:r>
    </w:hyperlink>
  </w:p>
  <w:p w14:paraId="3D3767AE" w14:textId="77777777" w:rsidR="00F026C8" w:rsidRPr="00DF18F5" w:rsidRDefault="00F026C8" w:rsidP="00F026C8">
    <w:pPr>
      <w:pStyle w:val="NormalWeb"/>
      <w:spacing w:before="0" w:beforeAutospacing="0" w:after="0" w:afterAutospacing="0"/>
      <w:rPr>
        <w:rFonts w:asciiTheme="minorHAnsi" w:hAnsiTheme="minorHAnsi" w:cstheme="minorHAnsi"/>
        <w:sz w:val="18"/>
        <w:szCs w:val="18"/>
        <w:highlight w:val="yellow"/>
      </w:rPr>
    </w:pPr>
    <w:r w:rsidRPr="00DF18F5">
      <w:rPr>
        <w:rFonts w:asciiTheme="minorHAnsi" w:hAnsiTheme="minorHAnsi" w:cstheme="minorHAnsi"/>
        <w:sz w:val="18"/>
        <w:szCs w:val="18"/>
      </w:rPr>
      <w:t xml:space="preserve">Adapted to </w:t>
    </w:r>
    <w:r w:rsidRPr="00DF18F5">
      <w:rPr>
        <w:rFonts w:asciiTheme="minorHAnsi" w:hAnsiTheme="minorHAnsi" w:cstheme="minorHAnsi"/>
        <w:sz w:val="18"/>
        <w:szCs w:val="18"/>
        <w:highlight w:val="yellow"/>
      </w:rPr>
      <w:t>&lt;&lt;Insert name of organisation&gt;&gt; &lt;&lt;insert date adapted&gt;&gt;</w:t>
    </w:r>
  </w:p>
  <w:p w14:paraId="59F62244" w14:textId="77777777" w:rsidR="00CC2F53" w:rsidRPr="00001A0D" w:rsidRDefault="00CC2F53" w:rsidP="00CC2F53">
    <w:pPr>
      <w:pStyle w:val="NormalWeb"/>
      <w:spacing w:before="0" w:beforeAutospacing="0" w:after="0" w:afterAutospacing="0"/>
      <w:jc w:val="right"/>
      <w:rPr>
        <w:rFonts w:asciiTheme="minorHAnsi" w:hAnsiTheme="minorHAnsi" w:cstheme="minorHAnsi"/>
        <w:sz w:val="18"/>
        <w:szCs w:val="18"/>
      </w:rPr>
    </w:pPr>
    <w:r w:rsidRPr="00001A0D">
      <w:rPr>
        <w:rFonts w:asciiTheme="minorHAnsi" w:hAnsiTheme="minorHAnsi" w:cstheme="minorHAnsi"/>
        <w:sz w:val="18"/>
        <w:szCs w:val="18"/>
      </w:rPr>
      <w:t xml:space="preserve">Page </w:t>
    </w:r>
    <w:r w:rsidRPr="00001A0D">
      <w:rPr>
        <w:rFonts w:asciiTheme="minorHAnsi" w:hAnsiTheme="minorHAnsi" w:cstheme="minorHAnsi"/>
        <w:sz w:val="18"/>
        <w:szCs w:val="18"/>
      </w:rPr>
      <w:fldChar w:fldCharType="begin"/>
    </w:r>
    <w:r w:rsidRPr="00001A0D">
      <w:rPr>
        <w:rFonts w:asciiTheme="minorHAnsi" w:hAnsiTheme="minorHAnsi" w:cstheme="minorHAnsi"/>
        <w:sz w:val="18"/>
        <w:szCs w:val="18"/>
      </w:rPr>
      <w:instrText xml:space="preserve"> PAGE   \* MERGEFORMAT </w:instrText>
    </w:r>
    <w:r w:rsidRPr="00001A0D">
      <w:rPr>
        <w:rFonts w:asciiTheme="minorHAnsi" w:hAnsiTheme="minorHAnsi" w:cstheme="minorHAnsi"/>
        <w:sz w:val="18"/>
        <w:szCs w:val="18"/>
      </w:rPr>
      <w:fldChar w:fldCharType="separate"/>
    </w:r>
    <w:r w:rsidRPr="00001A0D">
      <w:rPr>
        <w:rFonts w:asciiTheme="minorHAnsi" w:hAnsiTheme="minorHAnsi" w:cstheme="minorHAnsi"/>
        <w:sz w:val="18"/>
        <w:szCs w:val="18"/>
      </w:rPr>
      <w:t>1</w:t>
    </w:r>
    <w:r w:rsidRPr="00001A0D">
      <w:rPr>
        <w:rFonts w:asciiTheme="minorHAnsi" w:hAnsiTheme="minorHAnsi" w:cstheme="minorHAnsi"/>
        <w:sz w:val="18"/>
        <w:szCs w:val="18"/>
      </w:rPr>
      <w:fldChar w:fldCharType="end"/>
    </w:r>
    <w:r w:rsidRPr="00001A0D">
      <w:rPr>
        <w:rFonts w:asciiTheme="minorHAnsi" w:hAnsiTheme="minorHAnsi" w:cstheme="minorHAnsi"/>
        <w:sz w:val="18"/>
        <w:szCs w:val="18"/>
      </w:rPr>
      <w:t xml:space="preserve"> of </w:t>
    </w:r>
    <w:r w:rsidRPr="00001A0D">
      <w:rPr>
        <w:rFonts w:asciiTheme="minorHAnsi" w:hAnsiTheme="minorHAnsi" w:cstheme="minorHAnsi"/>
        <w:sz w:val="18"/>
        <w:szCs w:val="18"/>
      </w:rPr>
      <w:fldChar w:fldCharType="begin"/>
    </w:r>
    <w:r w:rsidRPr="00001A0D">
      <w:rPr>
        <w:rFonts w:asciiTheme="minorHAnsi" w:hAnsiTheme="minorHAnsi" w:cstheme="minorHAnsi"/>
        <w:sz w:val="18"/>
        <w:szCs w:val="18"/>
      </w:rPr>
      <w:instrText xml:space="preserve"> NUMPAGES   \* MERGEFORMAT </w:instrText>
    </w:r>
    <w:r w:rsidRPr="00001A0D">
      <w:rPr>
        <w:rFonts w:asciiTheme="minorHAnsi" w:hAnsiTheme="minorHAnsi" w:cstheme="minorHAnsi"/>
        <w:sz w:val="18"/>
        <w:szCs w:val="18"/>
      </w:rPr>
      <w:fldChar w:fldCharType="separate"/>
    </w:r>
    <w:r w:rsidRPr="00001A0D">
      <w:rPr>
        <w:rFonts w:asciiTheme="minorHAnsi" w:hAnsiTheme="minorHAnsi" w:cstheme="minorHAnsi"/>
        <w:sz w:val="18"/>
        <w:szCs w:val="18"/>
      </w:rPr>
      <w:t>6</w:t>
    </w:r>
    <w:r w:rsidRPr="00001A0D">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F36" w14:textId="266A71D4" w:rsidR="0034252A" w:rsidRPr="00DF18F5" w:rsidRDefault="0034252A" w:rsidP="0034252A">
    <w:pPr>
      <w:pStyle w:val="NormalWeb"/>
      <w:pBdr>
        <w:top w:val="single" w:sz="4" w:space="1" w:color="auto"/>
      </w:pBdr>
      <w:spacing w:before="0" w:beforeAutospacing="0" w:after="0" w:afterAutospacing="0"/>
      <w:rPr>
        <w:rFonts w:asciiTheme="minorHAnsi" w:hAnsiTheme="minorHAnsi" w:cstheme="minorHAnsi"/>
        <w:sz w:val="18"/>
        <w:szCs w:val="18"/>
      </w:rPr>
    </w:pPr>
    <w:r w:rsidRPr="00DF18F5">
      <w:rPr>
        <w:rFonts w:asciiTheme="minorHAnsi" w:hAnsiTheme="minorHAnsi" w:cstheme="minorHAnsi"/>
        <w:sz w:val="18"/>
        <w:szCs w:val="18"/>
      </w:rPr>
      <w:t>TT-SOP-</w:t>
    </w:r>
    <w:r w:rsidR="00F026C8">
      <w:rPr>
        <w:rFonts w:asciiTheme="minorHAnsi" w:hAnsiTheme="minorHAnsi" w:cstheme="minorHAnsi"/>
        <w:sz w:val="18"/>
        <w:szCs w:val="18"/>
      </w:rPr>
      <w:t>13</w:t>
    </w:r>
    <w:r w:rsidRPr="00DF18F5">
      <w:rPr>
        <w:rFonts w:asciiTheme="minorHAnsi" w:hAnsiTheme="minorHAnsi" w:cstheme="minorHAnsi"/>
        <w:sz w:val="18"/>
        <w:szCs w:val="18"/>
      </w:rPr>
      <w:t xml:space="preserve"> v1</w:t>
    </w:r>
    <w:r w:rsidR="00DF18F5" w:rsidRPr="00DF18F5">
      <w:rPr>
        <w:rFonts w:asciiTheme="minorHAnsi" w:hAnsiTheme="minorHAnsi" w:cstheme="minorHAnsi"/>
        <w:sz w:val="18"/>
        <w:szCs w:val="18"/>
      </w:rPr>
      <w:t>.0</w:t>
    </w:r>
    <w:r w:rsidRPr="00DF18F5">
      <w:rPr>
        <w:rFonts w:asciiTheme="minorHAnsi" w:hAnsiTheme="minorHAnsi" w:cstheme="minorHAnsi"/>
        <w:sz w:val="18"/>
        <w:szCs w:val="18"/>
      </w:rPr>
      <w:t xml:space="preserve">: </w:t>
    </w:r>
    <w:r w:rsidR="00F026C8">
      <w:rPr>
        <w:rFonts w:asciiTheme="minorHAnsi" w:hAnsiTheme="minorHAnsi" w:cstheme="minorHAnsi"/>
        <w:sz w:val="18"/>
        <w:szCs w:val="18"/>
      </w:rPr>
      <w:t>Management of Investigational Product</w:t>
    </w:r>
    <w:r w:rsidR="00001A0D" w:rsidRPr="00DF18F5">
      <w:rPr>
        <w:rFonts w:asciiTheme="minorHAnsi" w:hAnsiTheme="minorHAnsi" w:cstheme="minorHAnsi"/>
        <w:sz w:val="18"/>
        <w:szCs w:val="18"/>
      </w:rPr>
      <w:t xml:space="preserve"> with Teletrials</w:t>
    </w:r>
  </w:p>
  <w:p w14:paraId="50A4C2AA" w14:textId="2CDD4106" w:rsidR="0034252A" w:rsidRPr="00DF18F5" w:rsidRDefault="0034252A" w:rsidP="0034252A">
    <w:pPr>
      <w:pStyle w:val="NormalWeb"/>
      <w:spacing w:before="0" w:beforeAutospacing="0" w:after="0" w:afterAutospacing="0"/>
      <w:rPr>
        <w:rFonts w:asciiTheme="minorHAnsi" w:hAnsiTheme="minorHAnsi" w:cstheme="minorHAnsi"/>
        <w:sz w:val="18"/>
        <w:szCs w:val="18"/>
        <w:lang w:val="en-US"/>
      </w:rPr>
    </w:pPr>
    <w:r w:rsidRPr="00DF18F5">
      <w:rPr>
        <w:rFonts w:asciiTheme="minorHAnsi" w:hAnsiTheme="minorHAnsi" w:cstheme="minorHAnsi"/>
        <w:sz w:val="18"/>
        <w:szCs w:val="18"/>
        <w:lang w:val="en-US"/>
      </w:rPr>
      <w:t xml:space="preserve">Developed by VCCC and PCCTU (based on COSA Australasian Tele-trials model) </w:t>
    </w:r>
    <w:r w:rsidR="00F026C8">
      <w:rPr>
        <w:rFonts w:asciiTheme="minorHAnsi" w:hAnsiTheme="minorHAnsi" w:cstheme="minorHAnsi"/>
        <w:sz w:val="18"/>
        <w:szCs w:val="18"/>
        <w:lang w:val="en-US"/>
      </w:rPr>
      <w:t>September</w:t>
    </w:r>
    <w:r w:rsidR="00001A0D" w:rsidRPr="00DF18F5">
      <w:rPr>
        <w:rFonts w:asciiTheme="minorHAnsi" w:hAnsiTheme="minorHAnsi" w:cstheme="minorHAnsi"/>
        <w:sz w:val="18"/>
        <w:szCs w:val="18"/>
        <w:lang w:val="en-US"/>
      </w:rPr>
      <w:t xml:space="preserve"> 201</w:t>
    </w:r>
    <w:r w:rsidR="00F026C8">
      <w:rPr>
        <w:rFonts w:asciiTheme="minorHAnsi" w:hAnsiTheme="minorHAnsi" w:cstheme="minorHAnsi"/>
        <w:sz w:val="18"/>
        <w:szCs w:val="18"/>
        <w:lang w:val="en-US"/>
      </w:rPr>
      <w:t>9</w:t>
    </w:r>
  </w:p>
  <w:p w14:paraId="5BCCC880" w14:textId="77777777" w:rsidR="0034252A" w:rsidRPr="00DF18F5" w:rsidRDefault="00684FE4" w:rsidP="0034252A">
    <w:pPr>
      <w:pStyle w:val="NormalWeb"/>
      <w:spacing w:before="0" w:beforeAutospacing="0" w:after="0" w:afterAutospacing="0"/>
      <w:rPr>
        <w:rFonts w:asciiTheme="minorHAnsi" w:hAnsiTheme="minorHAnsi" w:cstheme="minorHAnsi"/>
        <w:sz w:val="18"/>
        <w:szCs w:val="18"/>
      </w:rPr>
    </w:pPr>
    <w:hyperlink r:id="rId1" w:history="1">
      <w:r w:rsidR="0034252A" w:rsidRPr="00DF18F5">
        <w:rPr>
          <w:rStyle w:val="Hyperlink"/>
          <w:rFonts w:asciiTheme="minorHAnsi" w:hAnsiTheme="minorHAnsi" w:cstheme="minorHAnsi"/>
          <w:sz w:val="18"/>
          <w:szCs w:val="18"/>
        </w:rPr>
        <w:t xml:space="preserve">http://www.viccompcancerctr.org </w:t>
      </w:r>
    </w:hyperlink>
  </w:p>
  <w:p w14:paraId="5A34C10C" w14:textId="77777777" w:rsidR="0034252A" w:rsidRPr="00DF18F5" w:rsidRDefault="0034252A" w:rsidP="0034252A">
    <w:pPr>
      <w:pStyle w:val="NormalWeb"/>
      <w:spacing w:before="0" w:beforeAutospacing="0" w:after="0" w:afterAutospacing="0"/>
      <w:rPr>
        <w:rFonts w:asciiTheme="minorHAnsi" w:hAnsiTheme="minorHAnsi" w:cstheme="minorHAnsi"/>
        <w:sz w:val="18"/>
        <w:szCs w:val="18"/>
        <w:highlight w:val="yellow"/>
      </w:rPr>
    </w:pPr>
    <w:r w:rsidRPr="00DF18F5">
      <w:rPr>
        <w:rFonts w:asciiTheme="minorHAnsi" w:hAnsiTheme="minorHAnsi" w:cstheme="minorHAnsi"/>
        <w:sz w:val="18"/>
        <w:szCs w:val="18"/>
      </w:rPr>
      <w:t xml:space="preserve">Adapted to </w:t>
    </w:r>
    <w:r w:rsidRPr="00DF18F5">
      <w:rPr>
        <w:rFonts w:asciiTheme="minorHAnsi" w:hAnsiTheme="minorHAnsi" w:cstheme="minorHAnsi"/>
        <w:sz w:val="18"/>
        <w:szCs w:val="18"/>
        <w:highlight w:val="yellow"/>
      </w:rPr>
      <w:t>&lt;&lt;Insert name of organisation&gt;&gt; &lt;&lt;insert date adapted&gt;&gt;</w:t>
    </w:r>
  </w:p>
  <w:p w14:paraId="34DECE70" w14:textId="77777777" w:rsidR="0034252A" w:rsidRPr="00DF18F5" w:rsidRDefault="0034252A" w:rsidP="0034252A">
    <w:pPr>
      <w:pStyle w:val="NormalWeb"/>
      <w:spacing w:before="0" w:beforeAutospacing="0" w:after="0" w:afterAutospacing="0"/>
      <w:jc w:val="right"/>
      <w:rPr>
        <w:rFonts w:asciiTheme="minorHAnsi" w:hAnsiTheme="minorHAnsi" w:cstheme="minorHAnsi"/>
        <w:sz w:val="18"/>
        <w:szCs w:val="18"/>
      </w:rPr>
    </w:pPr>
    <w:r w:rsidRPr="00DF18F5">
      <w:rPr>
        <w:rFonts w:asciiTheme="minorHAnsi" w:hAnsiTheme="minorHAnsi" w:cstheme="minorHAnsi"/>
        <w:sz w:val="18"/>
        <w:szCs w:val="18"/>
      </w:rPr>
      <w:t xml:space="preserve">Page </w:t>
    </w:r>
    <w:r w:rsidRPr="00DF18F5">
      <w:rPr>
        <w:rFonts w:asciiTheme="minorHAnsi" w:hAnsiTheme="minorHAnsi" w:cstheme="minorHAnsi"/>
        <w:sz w:val="18"/>
        <w:szCs w:val="18"/>
      </w:rPr>
      <w:fldChar w:fldCharType="begin"/>
    </w:r>
    <w:r w:rsidRPr="00DF18F5">
      <w:rPr>
        <w:rFonts w:asciiTheme="minorHAnsi" w:hAnsiTheme="minorHAnsi" w:cstheme="minorHAnsi"/>
        <w:sz w:val="18"/>
        <w:szCs w:val="18"/>
      </w:rPr>
      <w:instrText xml:space="preserve"> PAGE   \* MERGEFORMAT </w:instrText>
    </w:r>
    <w:r w:rsidRPr="00DF18F5">
      <w:rPr>
        <w:rFonts w:asciiTheme="minorHAnsi" w:hAnsiTheme="minorHAnsi" w:cstheme="minorHAnsi"/>
        <w:sz w:val="18"/>
        <w:szCs w:val="18"/>
      </w:rPr>
      <w:fldChar w:fldCharType="separate"/>
    </w:r>
    <w:r w:rsidRPr="00DF18F5">
      <w:rPr>
        <w:rFonts w:asciiTheme="minorHAnsi" w:hAnsiTheme="minorHAnsi" w:cstheme="minorHAnsi"/>
        <w:sz w:val="18"/>
        <w:szCs w:val="18"/>
      </w:rPr>
      <w:t>1</w:t>
    </w:r>
    <w:r w:rsidRPr="00DF18F5">
      <w:rPr>
        <w:rFonts w:asciiTheme="minorHAnsi" w:hAnsiTheme="minorHAnsi" w:cstheme="minorHAnsi"/>
        <w:sz w:val="18"/>
        <w:szCs w:val="18"/>
      </w:rPr>
      <w:fldChar w:fldCharType="end"/>
    </w:r>
    <w:r w:rsidRPr="00DF18F5">
      <w:rPr>
        <w:rFonts w:asciiTheme="minorHAnsi" w:hAnsiTheme="minorHAnsi" w:cstheme="minorHAnsi"/>
        <w:sz w:val="18"/>
        <w:szCs w:val="18"/>
      </w:rPr>
      <w:t xml:space="preserve"> of </w:t>
    </w:r>
    <w:r w:rsidRPr="00DF18F5">
      <w:rPr>
        <w:rFonts w:asciiTheme="minorHAnsi" w:hAnsiTheme="minorHAnsi" w:cstheme="minorHAnsi"/>
        <w:sz w:val="18"/>
        <w:szCs w:val="18"/>
      </w:rPr>
      <w:fldChar w:fldCharType="begin"/>
    </w:r>
    <w:r w:rsidRPr="00DF18F5">
      <w:rPr>
        <w:rFonts w:asciiTheme="minorHAnsi" w:hAnsiTheme="minorHAnsi" w:cstheme="minorHAnsi"/>
        <w:sz w:val="18"/>
        <w:szCs w:val="18"/>
      </w:rPr>
      <w:instrText xml:space="preserve"> NUMPAGES   \* MERGEFORMAT </w:instrText>
    </w:r>
    <w:r w:rsidRPr="00DF18F5">
      <w:rPr>
        <w:rFonts w:asciiTheme="minorHAnsi" w:hAnsiTheme="minorHAnsi" w:cstheme="minorHAnsi"/>
        <w:sz w:val="18"/>
        <w:szCs w:val="18"/>
      </w:rPr>
      <w:fldChar w:fldCharType="separate"/>
    </w:r>
    <w:r w:rsidRPr="00DF18F5">
      <w:rPr>
        <w:rFonts w:asciiTheme="minorHAnsi" w:hAnsiTheme="minorHAnsi" w:cstheme="minorHAnsi"/>
        <w:sz w:val="18"/>
        <w:szCs w:val="18"/>
      </w:rPr>
      <w:t>50</w:t>
    </w:r>
    <w:r w:rsidRPr="00DF18F5">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C6F4" w14:textId="77777777" w:rsidR="00DB7A27" w:rsidRDefault="00DB7A27">
      <w:r>
        <w:separator/>
      </w:r>
    </w:p>
  </w:footnote>
  <w:footnote w:type="continuationSeparator" w:id="0">
    <w:p w14:paraId="2B912699" w14:textId="77777777" w:rsidR="00DB7A27" w:rsidRDefault="00DB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00"/>
      <w:gridCol w:w="4948"/>
    </w:tblGrid>
    <w:tr w:rsidR="00632D2D" w14:paraId="305FD7CA" w14:textId="77777777" w:rsidTr="00632D2D">
      <w:trPr>
        <w:trHeight w:val="1252"/>
        <w:tblCellSpacing w:w="20" w:type="dxa"/>
      </w:trPr>
      <w:tc>
        <w:tcPr>
          <w:tcW w:w="5035" w:type="dxa"/>
        </w:tcPr>
        <w:p w14:paraId="4A1D6F63" w14:textId="77777777" w:rsidR="00632D2D" w:rsidRPr="00632D2D" w:rsidRDefault="00632D2D" w:rsidP="00632D2D">
          <w:pPr>
            <w:spacing w:after="0"/>
            <w:rPr>
              <w:szCs w:val="22"/>
            </w:rPr>
          </w:pPr>
          <w:r w:rsidRPr="00632D2D">
            <w:rPr>
              <w:noProof/>
              <w:szCs w:val="22"/>
            </w:rPr>
            <w:t>INSERT SITE LOGO HERE</w:t>
          </w:r>
        </w:p>
      </w:tc>
      <w:tc>
        <w:tcPr>
          <w:tcW w:w="5035" w:type="dxa"/>
          <w:vMerge w:val="restart"/>
        </w:tcPr>
        <w:p w14:paraId="77E4C29C" w14:textId="77777777" w:rsidR="00882287" w:rsidRDefault="00882287" w:rsidP="00882287">
          <w:pPr>
            <w:pStyle w:val="Header-TermsofReference"/>
          </w:pPr>
          <w:r>
            <w:t xml:space="preserve">site: </w:t>
          </w:r>
          <w:r w:rsidRPr="00001A0D">
            <w:rPr>
              <w:highlight w:val="yellow"/>
            </w:rPr>
            <w:t>(SITE)</w:t>
          </w:r>
          <w:r>
            <w:t xml:space="preserve"> </w:t>
          </w:r>
        </w:p>
        <w:p w14:paraId="4CF00E42" w14:textId="1E0AC659" w:rsidR="00632D2D" w:rsidRDefault="00882287" w:rsidP="00882287">
          <w:pPr>
            <w:pStyle w:val="Header-TermsofReference"/>
          </w:pPr>
          <w:r>
            <w:t>TITLE: Management of investigational product with teletrials</w:t>
          </w:r>
        </w:p>
      </w:tc>
    </w:tr>
    <w:tr w:rsidR="00632D2D" w14:paraId="3597416E" w14:textId="77777777" w:rsidTr="00632D2D">
      <w:trPr>
        <w:trHeight w:val="265"/>
        <w:tblCellSpacing w:w="20" w:type="dxa"/>
      </w:trPr>
      <w:tc>
        <w:tcPr>
          <w:tcW w:w="5035" w:type="dxa"/>
        </w:tcPr>
        <w:p w14:paraId="67E623BE" w14:textId="40C03994" w:rsidR="00632D2D" w:rsidRDefault="00632D2D" w:rsidP="00632D2D">
          <w:pPr>
            <w:pStyle w:val="Header-TermsofReference"/>
          </w:pPr>
          <w:r w:rsidRPr="00001A0D">
            <w:rPr>
              <w:highlight w:val="yellow"/>
            </w:rPr>
            <w:t>(SITE)</w:t>
          </w:r>
          <w:r>
            <w:t xml:space="preserve"> </w:t>
          </w:r>
          <w:r w:rsidR="00001A0D">
            <w:t>tt</w:t>
          </w:r>
          <w:r>
            <w:t>-SOP-</w:t>
          </w:r>
          <w:r w:rsidR="00882287">
            <w:t>13</w:t>
          </w:r>
        </w:p>
      </w:tc>
      <w:tc>
        <w:tcPr>
          <w:tcW w:w="5035" w:type="dxa"/>
          <w:vMerge/>
        </w:tcPr>
        <w:p w14:paraId="02F6152E" w14:textId="77777777" w:rsidR="00632D2D" w:rsidRDefault="00632D2D" w:rsidP="00632D2D">
          <w:pPr>
            <w:jc w:val="right"/>
          </w:pPr>
        </w:p>
      </w:tc>
    </w:tr>
  </w:tbl>
  <w:p w14:paraId="06B5E9E4"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99"/>
      <w:gridCol w:w="4949"/>
    </w:tblGrid>
    <w:tr w:rsidR="00B52D22" w14:paraId="51B439B6" w14:textId="77777777" w:rsidTr="00B52D22">
      <w:trPr>
        <w:trHeight w:val="1252"/>
        <w:tblCellSpacing w:w="20" w:type="dxa"/>
      </w:trPr>
      <w:tc>
        <w:tcPr>
          <w:tcW w:w="5040" w:type="dxa"/>
        </w:tcPr>
        <w:p w14:paraId="7254FD32" w14:textId="77777777" w:rsidR="00B52D22" w:rsidRPr="00632D2D" w:rsidRDefault="00632D2D" w:rsidP="00632D2D">
          <w:pPr>
            <w:spacing w:after="0"/>
            <w:rPr>
              <w:szCs w:val="22"/>
            </w:rPr>
          </w:pPr>
          <w:r w:rsidRPr="00632D2D">
            <w:rPr>
              <w:noProof/>
              <w:szCs w:val="22"/>
            </w:rPr>
            <w:t>INSERT SITE LOGO HERE</w:t>
          </w:r>
        </w:p>
      </w:tc>
      <w:tc>
        <w:tcPr>
          <w:tcW w:w="5040" w:type="dxa"/>
          <w:vMerge w:val="restart"/>
        </w:tcPr>
        <w:p w14:paraId="7BB7E3CC" w14:textId="77777777" w:rsidR="00001A0D" w:rsidRDefault="00001A0D" w:rsidP="00001A0D">
          <w:pPr>
            <w:pStyle w:val="Header-TermsofReference"/>
          </w:pPr>
          <w:r>
            <w:t xml:space="preserve">site: </w:t>
          </w:r>
          <w:r w:rsidR="00632D2D" w:rsidRPr="00001A0D">
            <w:rPr>
              <w:highlight w:val="yellow"/>
            </w:rPr>
            <w:t>(SITE)</w:t>
          </w:r>
          <w:r w:rsidR="00632D2D">
            <w:t xml:space="preserve"> </w:t>
          </w:r>
        </w:p>
        <w:p w14:paraId="4118063D" w14:textId="0464262E" w:rsidR="00B52D22" w:rsidRDefault="00B52D22" w:rsidP="00001A0D">
          <w:pPr>
            <w:pStyle w:val="Header-TermsofReference"/>
          </w:pPr>
          <w:r>
            <w:t xml:space="preserve">TITLE: </w:t>
          </w:r>
          <w:r w:rsidR="00882287">
            <w:t>Management of investigational product</w:t>
          </w:r>
          <w:r w:rsidR="00001A0D">
            <w:t xml:space="preserve"> with teletrials</w:t>
          </w:r>
        </w:p>
      </w:tc>
    </w:tr>
    <w:tr w:rsidR="00B52D22" w14:paraId="509F6CB5" w14:textId="77777777" w:rsidTr="00B52D22">
      <w:trPr>
        <w:trHeight w:val="265"/>
        <w:tblCellSpacing w:w="20" w:type="dxa"/>
      </w:trPr>
      <w:tc>
        <w:tcPr>
          <w:tcW w:w="5040" w:type="dxa"/>
        </w:tcPr>
        <w:p w14:paraId="0A16D602" w14:textId="2F4900B5" w:rsidR="00B52D22" w:rsidRDefault="00632D2D" w:rsidP="00DB6E88">
          <w:pPr>
            <w:pStyle w:val="Header-TermsofReference"/>
          </w:pPr>
          <w:r w:rsidRPr="00001A0D">
            <w:rPr>
              <w:highlight w:val="yellow"/>
            </w:rPr>
            <w:t>(SITE)</w:t>
          </w:r>
          <w:r w:rsidR="00001A0D">
            <w:t xml:space="preserve"> tt</w:t>
          </w:r>
          <w:r w:rsidR="00E61725">
            <w:t>-SOP-</w:t>
          </w:r>
          <w:r w:rsidR="00882287">
            <w:t>13</w:t>
          </w:r>
          <w:r w:rsidR="00CA12C4">
            <w:t xml:space="preserve"> </w:t>
          </w:r>
        </w:p>
      </w:tc>
      <w:tc>
        <w:tcPr>
          <w:tcW w:w="5040" w:type="dxa"/>
          <w:vMerge/>
        </w:tcPr>
        <w:p w14:paraId="291CCADE" w14:textId="77777777" w:rsidR="00B52D22" w:rsidRDefault="00B52D22" w:rsidP="00316AE6">
          <w:pPr>
            <w:jc w:val="right"/>
          </w:pPr>
        </w:p>
      </w:tc>
    </w:tr>
  </w:tbl>
  <w:p w14:paraId="0F1A2F3A"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F81701E"/>
    <w:multiLevelType w:val="hybridMultilevel"/>
    <w:tmpl w:val="D92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6EC4"/>
    <w:multiLevelType w:val="hybridMultilevel"/>
    <w:tmpl w:val="D9D6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1534E"/>
    <w:multiLevelType w:val="hybridMultilevel"/>
    <w:tmpl w:val="349A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30688"/>
    <w:multiLevelType w:val="hybridMultilevel"/>
    <w:tmpl w:val="D6C6F89C"/>
    <w:lvl w:ilvl="0" w:tplc="321CCF3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E2EB0"/>
    <w:multiLevelType w:val="multilevel"/>
    <w:tmpl w:val="A22CFBC4"/>
    <w:numStyleLink w:val="Item5Level2List"/>
  </w:abstractNum>
  <w:abstractNum w:abstractNumId="6"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3A5473D2"/>
    <w:multiLevelType w:val="hybridMultilevel"/>
    <w:tmpl w:val="00DA2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E445C6"/>
    <w:multiLevelType w:val="hybridMultilevel"/>
    <w:tmpl w:val="1F10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958F8"/>
    <w:multiLevelType w:val="hybridMultilevel"/>
    <w:tmpl w:val="31B8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4F2673"/>
    <w:multiLevelType w:val="hybridMultilevel"/>
    <w:tmpl w:val="A1A0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77696F"/>
    <w:multiLevelType w:val="hybridMultilevel"/>
    <w:tmpl w:val="5CD25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8903454"/>
    <w:multiLevelType w:val="hybridMultilevel"/>
    <w:tmpl w:val="67AC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9" w15:restartNumberingAfterBreak="0">
    <w:nsid w:val="7780420C"/>
    <w:multiLevelType w:val="hybridMultilevel"/>
    <w:tmpl w:val="F822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2"/>
  </w:num>
  <w:num w:numId="2">
    <w:abstractNumId w:val="0"/>
  </w:num>
  <w:num w:numId="3">
    <w:abstractNumId w:val="15"/>
  </w:num>
  <w:num w:numId="4">
    <w:abstractNumId w:val="20"/>
  </w:num>
  <w:num w:numId="5">
    <w:abstractNumId w:val="21"/>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6"/>
  </w:num>
  <w:num w:numId="10">
    <w:abstractNumId w:val="8"/>
  </w:num>
  <w:num w:numId="11">
    <w:abstractNumId w:val="18"/>
  </w:num>
  <w:num w:numId="12">
    <w:abstractNumId w:val="5"/>
  </w:num>
  <w:num w:numId="13">
    <w:abstractNumId w:val="14"/>
  </w:num>
  <w:num w:numId="14">
    <w:abstractNumId w:val="21"/>
  </w:num>
  <w:num w:numId="15">
    <w:abstractNumId w:val="13"/>
  </w:num>
  <w:num w:numId="16">
    <w:abstractNumId w:val="16"/>
  </w:num>
  <w:num w:numId="17">
    <w:abstractNumId w:val="7"/>
  </w:num>
  <w:num w:numId="18">
    <w:abstractNumId w:val="10"/>
  </w:num>
  <w:num w:numId="19">
    <w:abstractNumId w:val="12"/>
  </w:num>
  <w:num w:numId="20">
    <w:abstractNumId w:val="17"/>
  </w:num>
  <w:num w:numId="21">
    <w:abstractNumId w:val="19"/>
  </w:num>
  <w:num w:numId="22">
    <w:abstractNumId w:val="2"/>
  </w:num>
  <w:num w:numId="23">
    <w:abstractNumId w:val="11"/>
  </w:num>
  <w:num w:numId="24">
    <w:abstractNumId w:val="9"/>
  </w:num>
  <w:num w:numId="25">
    <w:abstractNumId w:val="4"/>
  </w:num>
  <w:num w:numId="26">
    <w:abstractNumId w:val="1"/>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a Donaldson">
    <w15:presenceInfo w15:providerId="AD" w15:userId="S::alana.donaldson@unimelb.edu.au::32822986-8c9a-432e-ab70-4292ceef9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01A0D"/>
    <w:rsid w:val="000025B9"/>
    <w:rsid w:val="00006661"/>
    <w:rsid w:val="00011630"/>
    <w:rsid w:val="000257FA"/>
    <w:rsid w:val="000B3B5F"/>
    <w:rsid w:val="000C1808"/>
    <w:rsid w:val="000D40EC"/>
    <w:rsid w:val="000E2E0E"/>
    <w:rsid w:val="000E55B3"/>
    <w:rsid w:val="000E5A0D"/>
    <w:rsid w:val="00112434"/>
    <w:rsid w:val="00116D20"/>
    <w:rsid w:val="0013600A"/>
    <w:rsid w:val="001450FC"/>
    <w:rsid w:val="001456D4"/>
    <w:rsid w:val="00150637"/>
    <w:rsid w:val="00163CF4"/>
    <w:rsid w:val="00170694"/>
    <w:rsid w:val="00170C8C"/>
    <w:rsid w:val="00182773"/>
    <w:rsid w:val="0019060D"/>
    <w:rsid w:val="001917AF"/>
    <w:rsid w:val="00197ABB"/>
    <w:rsid w:val="001A1E87"/>
    <w:rsid w:val="001A68AC"/>
    <w:rsid w:val="001B4459"/>
    <w:rsid w:val="001C18BD"/>
    <w:rsid w:val="001D28F6"/>
    <w:rsid w:val="001D5377"/>
    <w:rsid w:val="001E162B"/>
    <w:rsid w:val="001E6770"/>
    <w:rsid w:val="001E6DF9"/>
    <w:rsid w:val="001F1C70"/>
    <w:rsid w:val="002059BC"/>
    <w:rsid w:val="00232E4D"/>
    <w:rsid w:val="00242DAE"/>
    <w:rsid w:val="00245851"/>
    <w:rsid w:val="00262E64"/>
    <w:rsid w:val="002641EF"/>
    <w:rsid w:val="002659A0"/>
    <w:rsid w:val="002778FD"/>
    <w:rsid w:val="00286FF9"/>
    <w:rsid w:val="002A0552"/>
    <w:rsid w:val="002A261E"/>
    <w:rsid w:val="002A4EE6"/>
    <w:rsid w:val="002C4DDF"/>
    <w:rsid w:val="002E0579"/>
    <w:rsid w:val="002E1D82"/>
    <w:rsid w:val="00305216"/>
    <w:rsid w:val="003060FC"/>
    <w:rsid w:val="00310477"/>
    <w:rsid w:val="00316AE6"/>
    <w:rsid w:val="003220F5"/>
    <w:rsid w:val="00323A36"/>
    <w:rsid w:val="00333478"/>
    <w:rsid w:val="0034252A"/>
    <w:rsid w:val="00364888"/>
    <w:rsid w:val="00370A48"/>
    <w:rsid w:val="00374ED4"/>
    <w:rsid w:val="0038261C"/>
    <w:rsid w:val="00390F87"/>
    <w:rsid w:val="0039233F"/>
    <w:rsid w:val="003A254B"/>
    <w:rsid w:val="003B2A12"/>
    <w:rsid w:val="003B5F76"/>
    <w:rsid w:val="003C1A4C"/>
    <w:rsid w:val="00401F35"/>
    <w:rsid w:val="00403B20"/>
    <w:rsid w:val="0041740A"/>
    <w:rsid w:val="0042198D"/>
    <w:rsid w:val="0043615A"/>
    <w:rsid w:val="00463E0A"/>
    <w:rsid w:val="00475ACD"/>
    <w:rsid w:val="00493C39"/>
    <w:rsid w:val="004A188D"/>
    <w:rsid w:val="004A3678"/>
    <w:rsid w:val="004C5E4A"/>
    <w:rsid w:val="004D5519"/>
    <w:rsid w:val="004F069F"/>
    <w:rsid w:val="0051127E"/>
    <w:rsid w:val="005275BB"/>
    <w:rsid w:val="00532DF1"/>
    <w:rsid w:val="0053672C"/>
    <w:rsid w:val="00537FB8"/>
    <w:rsid w:val="00550E87"/>
    <w:rsid w:val="00553F0A"/>
    <w:rsid w:val="00556865"/>
    <w:rsid w:val="00575001"/>
    <w:rsid w:val="00581FF6"/>
    <w:rsid w:val="005A4E3F"/>
    <w:rsid w:val="005C0425"/>
    <w:rsid w:val="005C0BA4"/>
    <w:rsid w:val="005C6DCE"/>
    <w:rsid w:val="005D1229"/>
    <w:rsid w:val="005D433B"/>
    <w:rsid w:val="005F4BF2"/>
    <w:rsid w:val="005F6D0A"/>
    <w:rsid w:val="00610EBD"/>
    <w:rsid w:val="00632D2D"/>
    <w:rsid w:val="00637FA2"/>
    <w:rsid w:val="00665D89"/>
    <w:rsid w:val="00670FAD"/>
    <w:rsid w:val="00677F62"/>
    <w:rsid w:val="00682E31"/>
    <w:rsid w:val="00684FE4"/>
    <w:rsid w:val="006977B5"/>
    <w:rsid w:val="006A0A00"/>
    <w:rsid w:val="006A0FBA"/>
    <w:rsid w:val="006E4CEA"/>
    <w:rsid w:val="006F2AC9"/>
    <w:rsid w:val="006F4E45"/>
    <w:rsid w:val="00705A1B"/>
    <w:rsid w:val="00705FA8"/>
    <w:rsid w:val="00744094"/>
    <w:rsid w:val="00750006"/>
    <w:rsid w:val="007929E4"/>
    <w:rsid w:val="007D5984"/>
    <w:rsid w:val="00807036"/>
    <w:rsid w:val="008568B2"/>
    <w:rsid w:val="00860F1B"/>
    <w:rsid w:val="00882287"/>
    <w:rsid w:val="0089138F"/>
    <w:rsid w:val="008948F7"/>
    <w:rsid w:val="008C2297"/>
    <w:rsid w:val="008C4E39"/>
    <w:rsid w:val="008E05E5"/>
    <w:rsid w:val="008E2D77"/>
    <w:rsid w:val="008F1674"/>
    <w:rsid w:val="008F19D5"/>
    <w:rsid w:val="00914394"/>
    <w:rsid w:val="00931B43"/>
    <w:rsid w:val="00942FE7"/>
    <w:rsid w:val="00945604"/>
    <w:rsid w:val="00960F2B"/>
    <w:rsid w:val="009825DA"/>
    <w:rsid w:val="00990D2F"/>
    <w:rsid w:val="00990F9A"/>
    <w:rsid w:val="00995ACE"/>
    <w:rsid w:val="009A301A"/>
    <w:rsid w:val="009A53E4"/>
    <w:rsid w:val="009B40A1"/>
    <w:rsid w:val="009B4265"/>
    <w:rsid w:val="009D002B"/>
    <w:rsid w:val="009D06C9"/>
    <w:rsid w:val="009E2991"/>
    <w:rsid w:val="009E546D"/>
    <w:rsid w:val="00A10C47"/>
    <w:rsid w:val="00A21A35"/>
    <w:rsid w:val="00A25237"/>
    <w:rsid w:val="00A2584D"/>
    <w:rsid w:val="00A30176"/>
    <w:rsid w:val="00A30995"/>
    <w:rsid w:val="00A528AE"/>
    <w:rsid w:val="00A75057"/>
    <w:rsid w:val="00A776D1"/>
    <w:rsid w:val="00A80E8A"/>
    <w:rsid w:val="00A87DE4"/>
    <w:rsid w:val="00A92979"/>
    <w:rsid w:val="00A93594"/>
    <w:rsid w:val="00A93EA1"/>
    <w:rsid w:val="00AA3D32"/>
    <w:rsid w:val="00AD02A3"/>
    <w:rsid w:val="00AE3E95"/>
    <w:rsid w:val="00AF16F3"/>
    <w:rsid w:val="00AF1F83"/>
    <w:rsid w:val="00B003F1"/>
    <w:rsid w:val="00B00DFE"/>
    <w:rsid w:val="00B12D9A"/>
    <w:rsid w:val="00B52D22"/>
    <w:rsid w:val="00B76D48"/>
    <w:rsid w:val="00BB0451"/>
    <w:rsid w:val="00BD20D1"/>
    <w:rsid w:val="00BE1416"/>
    <w:rsid w:val="00BF1D7D"/>
    <w:rsid w:val="00BF3F8A"/>
    <w:rsid w:val="00BF7864"/>
    <w:rsid w:val="00C13549"/>
    <w:rsid w:val="00C14F27"/>
    <w:rsid w:val="00C478BE"/>
    <w:rsid w:val="00C51BD0"/>
    <w:rsid w:val="00C564C0"/>
    <w:rsid w:val="00C61B2F"/>
    <w:rsid w:val="00C64964"/>
    <w:rsid w:val="00CA12C4"/>
    <w:rsid w:val="00CC04EC"/>
    <w:rsid w:val="00CC2F53"/>
    <w:rsid w:val="00CC5740"/>
    <w:rsid w:val="00D07B03"/>
    <w:rsid w:val="00D2106B"/>
    <w:rsid w:val="00D26EFF"/>
    <w:rsid w:val="00D35A33"/>
    <w:rsid w:val="00D40CD3"/>
    <w:rsid w:val="00D71B88"/>
    <w:rsid w:val="00DA1B08"/>
    <w:rsid w:val="00DB6E88"/>
    <w:rsid w:val="00DB7A27"/>
    <w:rsid w:val="00DD4DA0"/>
    <w:rsid w:val="00DE1F98"/>
    <w:rsid w:val="00DF03D9"/>
    <w:rsid w:val="00DF18F5"/>
    <w:rsid w:val="00E13CD1"/>
    <w:rsid w:val="00E30ADF"/>
    <w:rsid w:val="00E330F1"/>
    <w:rsid w:val="00E542D6"/>
    <w:rsid w:val="00E54F5A"/>
    <w:rsid w:val="00E614B5"/>
    <w:rsid w:val="00E61725"/>
    <w:rsid w:val="00E63D8D"/>
    <w:rsid w:val="00E706B5"/>
    <w:rsid w:val="00E907C5"/>
    <w:rsid w:val="00EB2B11"/>
    <w:rsid w:val="00EE25E9"/>
    <w:rsid w:val="00EF150B"/>
    <w:rsid w:val="00EF3072"/>
    <w:rsid w:val="00F026C8"/>
    <w:rsid w:val="00F20B83"/>
    <w:rsid w:val="00F21696"/>
    <w:rsid w:val="00F5323F"/>
    <w:rsid w:val="00F62527"/>
    <w:rsid w:val="00F72994"/>
    <w:rsid w:val="00F75BAD"/>
    <w:rsid w:val="00FA0C8C"/>
    <w:rsid w:val="00FC7713"/>
    <w:rsid w:val="00FC7EE2"/>
    <w:rsid w:val="00FE03D6"/>
    <w:rsid w:val="00FE701E"/>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5BA32F3"/>
  <w15:docId w15:val="{B04F7193-F23A-486B-9C6C-A1233966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DA1B08"/>
    <w:pPr>
      <w:ind w:left="720"/>
      <w:contextualSpacing/>
    </w:pPr>
  </w:style>
  <w:style w:type="paragraph" w:styleId="CommentSubject">
    <w:name w:val="annotation subject"/>
    <w:basedOn w:val="CommentText"/>
    <w:next w:val="CommentText"/>
    <w:link w:val="CommentSubjectChar"/>
    <w:rsid w:val="00670FAD"/>
    <w:rPr>
      <w:b/>
      <w:bCs/>
      <w:lang w:eastAsia="en-AU"/>
    </w:rPr>
  </w:style>
  <w:style w:type="character" w:customStyle="1" w:styleId="CommentTextChar">
    <w:name w:val="Comment Text Char"/>
    <w:basedOn w:val="DefaultParagraphFont"/>
    <w:link w:val="CommentText"/>
    <w:semiHidden/>
    <w:rsid w:val="00670FAD"/>
    <w:rPr>
      <w:rFonts w:ascii="Calibri" w:hAnsi="Calibri"/>
    </w:rPr>
  </w:style>
  <w:style w:type="character" w:customStyle="1" w:styleId="CommentSubjectChar">
    <w:name w:val="Comment Subject Char"/>
    <w:basedOn w:val="CommentTextChar"/>
    <w:link w:val="CommentSubject"/>
    <w:rsid w:val="00670FAD"/>
    <w:rPr>
      <w:rFonts w:ascii="Calibri" w:hAnsi="Calibri"/>
      <w:b/>
      <w:bCs/>
      <w:lang w:eastAsia="en-AU"/>
    </w:rPr>
  </w:style>
  <w:style w:type="table" w:styleId="GridTable2-Accent1">
    <w:name w:val="Grid Table 2 Accent 1"/>
    <w:basedOn w:val="TableNormal"/>
    <w:uiPriority w:val="47"/>
    <w:rsid w:val="00E30AD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4252A"/>
    <w:pPr>
      <w:spacing w:before="100" w:beforeAutospacing="1" w:after="100" w:afterAutospacing="1"/>
    </w:pPr>
    <w:rPr>
      <w:rFonts w:ascii="Times New Roman" w:hAnsi="Times New Roman"/>
      <w:sz w:val="24"/>
      <w:lang w:val="en-GB" w:eastAsia="en-GB"/>
    </w:rPr>
  </w:style>
  <w:style w:type="paragraph" w:styleId="BodyText">
    <w:name w:val="Body Text"/>
    <w:basedOn w:val="Normal"/>
    <w:link w:val="BodyTextChar"/>
    <w:semiHidden/>
    <w:unhideWhenUsed/>
    <w:rsid w:val="00D40CD3"/>
  </w:style>
  <w:style w:type="character" w:customStyle="1" w:styleId="BodyTextChar">
    <w:name w:val="Body Text Char"/>
    <w:basedOn w:val="DefaultParagraphFont"/>
    <w:link w:val="BodyText"/>
    <w:semiHidden/>
    <w:rsid w:val="00D40CD3"/>
    <w:rPr>
      <w:rFonts w:ascii="Calibri" w:hAnsi="Calibri"/>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C6A4-F161-4C1B-AF80-69292BB1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73E58-D66F-4FC7-A324-CA8A76948DA1}">
  <ds:schemaRefs>
    <ds:schemaRef ds:uri="http://schemas.microsoft.com/sharepoint/v3/contenttype/forms"/>
  </ds:schemaRefs>
</ds:datastoreItem>
</file>

<file path=customXml/itemProps3.xml><?xml version="1.0" encoding="utf-8"?>
<ds:datastoreItem xmlns:ds="http://schemas.openxmlformats.org/officeDocument/2006/customXml" ds:itemID="{D50F27EC-8DD3-4D88-992C-7A9EA2776E22}">
  <ds:schemaRefs>
    <ds:schemaRef ds:uri="http://purl.org/dc/elements/1.1/"/>
    <ds:schemaRef ds:uri="http://schemas.microsoft.com/office/2006/metadata/properties"/>
    <ds:schemaRef ds:uri="78ea2596-d6df-44c7-886e-5f2efe51ad18"/>
    <ds:schemaRef ds:uri="9f3bff31-9fd4-4699-90cf-c0cd11766f1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06E685B-FD60-4ED2-BA27-EE8500DA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1</TotalTime>
  <Pages>8</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10464</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2017-06-26T03:33:00Z</cp:lastPrinted>
  <dcterms:created xsi:type="dcterms:W3CDTF">2020-03-16T22:00:00Z</dcterms:created>
  <dcterms:modified xsi:type="dcterms:W3CDTF">2020-03-16T22:00:00Z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